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2A98D" w14:textId="77777777" w:rsidR="003312ED" w:rsidRPr="00B81BCA" w:rsidRDefault="00B81BCA" w:rsidP="006136BB">
      <w:pPr>
        <w:pStyle w:val="Title"/>
        <w:spacing w:line="240" w:lineRule="auto"/>
        <w:rPr>
          <w:rFonts w:ascii="Calibri" w:hAnsi="Calibri"/>
          <w:sz w:val="32"/>
          <w:szCs w:val="32"/>
        </w:rPr>
      </w:pPr>
      <w:bookmarkStart w:id="0" w:name="_Hlk6395293"/>
      <w:r w:rsidRPr="00B81BCA">
        <w:rPr>
          <w:sz w:val="32"/>
          <w:szCs w:val="32"/>
        </w:rPr>
        <w:t>The Western Balkans Small Arms and Light Weapons (SALW) Control Roadmap Multi-Partner Trust Fund</w:t>
      </w:r>
      <w:r>
        <w:rPr>
          <w:sz w:val="32"/>
          <w:szCs w:val="32"/>
        </w:rPr>
        <w:t xml:space="preserve"> (MPTF)</w:t>
      </w:r>
    </w:p>
    <w:bookmarkEnd w:id="0"/>
    <w:p w14:paraId="0E82A98E" w14:textId="161A620D" w:rsidR="0014251C" w:rsidRPr="0014251C" w:rsidRDefault="00B81BCA" w:rsidP="006136BB">
      <w:pPr>
        <w:pStyle w:val="Subtitle"/>
        <w:spacing w:line="240" w:lineRule="auto"/>
        <w:rPr>
          <w:rFonts w:ascii="Calibri" w:hAnsi="Calibri"/>
        </w:rPr>
      </w:pPr>
      <w:r>
        <w:rPr>
          <w:rFonts w:ascii="Calibri" w:hAnsi="Calibri"/>
        </w:rPr>
        <w:t>Call for proposals: guidance on the</w:t>
      </w:r>
      <w:r w:rsidR="00D6034B">
        <w:rPr>
          <w:rFonts w:ascii="Calibri" w:hAnsi="Calibri"/>
        </w:rPr>
        <w:t xml:space="preserve"> submission, </w:t>
      </w:r>
      <w:r w:rsidR="006124CD">
        <w:rPr>
          <w:rFonts w:ascii="Calibri" w:hAnsi="Calibri"/>
        </w:rPr>
        <w:t>evaluation</w:t>
      </w:r>
      <w:r w:rsidR="004274E3">
        <w:rPr>
          <w:rFonts w:ascii="Calibri" w:hAnsi="Calibri"/>
        </w:rPr>
        <w:t xml:space="preserve"> of proposals</w:t>
      </w:r>
      <w:r w:rsidR="006124CD">
        <w:rPr>
          <w:rFonts w:ascii="Calibri" w:hAnsi="Calibri"/>
        </w:rPr>
        <w:t xml:space="preserve">, </w:t>
      </w:r>
      <w:r w:rsidR="00D6034B">
        <w:rPr>
          <w:rFonts w:ascii="Calibri" w:hAnsi="Calibri"/>
        </w:rPr>
        <w:t>selection</w:t>
      </w:r>
      <w:r w:rsidR="006124CD">
        <w:rPr>
          <w:rFonts w:ascii="Calibri" w:hAnsi="Calibri"/>
        </w:rPr>
        <w:t xml:space="preserve"> and </w:t>
      </w:r>
      <w:r w:rsidR="00D6034B">
        <w:rPr>
          <w:rFonts w:ascii="Calibri" w:hAnsi="Calibri"/>
        </w:rPr>
        <w:t>implementation</w:t>
      </w:r>
      <w:r w:rsidR="004274E3">
        <w:rPr>
          <w:rFonts w:ascii="Calibri" w:hAnsi="Calibri"/>
        </w:rPr>
        <w:t xml:space="preserve"> and closure</w:t>
      </w:r>
      <w:r w:rsidR="00D6034B">
        <w:rPr>
          <w:rFonts w:ascii="Calibri" w:hAnsi="Calibri"/>
        </w:rPr>
        <w:t xml:space="preserve"> of the</w:t>
      </w:r>
      <w:r w:rsidR="00B75714">
        <w:rPr>
          <w:rFonts w:ascii="Calibri" w:hAnsi="Calibri"/>
        </w:rPr>
        <w:t xml:space="preserve"> </w:t>
      </w:r>
      <w:r w:rsidR="004B5F63">
        <w:rPr>
          <w:rFonts w:ascii="Calibri" w:hAnsi="Calibri"/>
        </w:rPr>
        <w:t>initiatives</w:t>
      </w:r>
      <w:r w:rsidR="00B75714">
        <w:rPr>
          <w:rFonts w:ascii="Calibri" w:hAnsi="Calibri"/>
        </w:rPr>
        <w:t xml:space="preserve"> </w:t>
      </w:r>
      <w:r w:rsidR="00D6034B">
        <w:rPr>
          <w:rFonts w:ascii="Calibri" w:hAnsi="Calibri"/>
        </w:rPr>
        <w:t xml:space="preserve">to be funded through the </w:t>
      </w:r>
      <w:r w:rsidR="008E0499">
        <w:rPr>
          <w:rFonts w:ascii="Calibri" w:hAnsi="Calibri"/>
        </w:rPr>
        <w:t>MPTF</w:t>
      </w:r>
    </w:p>
    <w:p w14:paraId="0E82A98F" w14:textId="77777777" w:rsidR="00AA7F0F" w:rsidRDefault="00AA7F0F" w:rsidP="006136BB">
      <w:pPr>
        <w:spacing w:line="240" w:lineRule="auto"/>
      </w:pPr>
    </w:p>
    <w:p w14:paraId="3A87CEE6" w14:textId="77777777" w:rsidR="00B90C0F" w:rsidRDefault="00B90C0F" w:rsidP="006136BB">
      <w:pPr>
        <w:spacing w:line="240" w:lineRule="auto"/>
      </w:pPr>
    </w:p>
    <w:sdt>
      <w:sdtPr>
        <w:rPr>
          <w:rFonts w:asciiTheme="minorHAnsi" w:eastAsiaTheme="minorHAnsi" w:hAnsiTheme="minorHAnsi" w:cstheme="minorBidi"/>
          <w:color w:val="404040" w:themeColor="text1" w:themeTint="BF"/>
          <w:sz w:val="18"/>
          <w:szCs w:val="18"/>
          <w:lang w:eastAsia="ja-JP"/>
        </w:rPr>
        <w:id w:val="-801617013"/>
        <w:docPartObj>
          <w:docPartGallery w:val="Table of Contents"/>
          <w:docPartUnique/>
        </w:docPartObj>
      </w:sdtPr>
      <w:sdtEndPr>
        <w:rPr>
          <w:b/>
          <w:bCs/>
          <w:noProof/>
        </w:rPr>
      </w:sdtEndPr>
      <w:sdtContent>
        <w:p w14:paraId="61E3B5C9" w14:textId="541973A0" w:rsidR="00B90C0F" w:rsidRDefault="00B90C0F">
          <w:pPr>
            <w:pStyle w:val="TOCHeading"/>
          </w:pPr>
          <w:r>
            <w:t>Contents</w:t>
          </w:r>
        </w:p>
        <w:p w14:paraId="182A96A2" w14:textId="77777777" w:rsidR="00444B49" w:rsidRDefault="00B90C0F">
          <w:pPr>
            <w:pStyle w:val="TOC1"/>
            <w:tabs>
              <w:tab w:val="right" w:leader="dot" w:pos="9350"/>
            </w:tabs>
            <w:rPr>
              <w:rFonts w:eastAsiaTheme="minorEastAsia"/>
              <w:noProof/>
              <w:color w:val="auto"/>
              <w:sz w:val="22"/>
              <w:szCs w:val="22"/>
              <w:lang w:eastAsia="en-US"/>
            </w:rPr>
          </w:pPr>
          <w:r>
            <w:rPr>
              <w:b/>
              <w:bCs/>
              <w:noProof/>
            </w:rPr>
            <w:fldChar w:fldCharType="begin"/>
          </w:r>
          <w:r>
            <w:rPr>
              <w:b/>
              <w:bCs/>
              <w:noProof/>
            </w:rPr>
            <w:instrText xml:space="preserve"> TOC \o "1-3" \h \z \u </w:instrText>
          </w:r>
          <w:r>
            <w:rPr>
              <w:b/>
              <w:bCs/>
              <w:noProof/>
            </w:rPr>
            <w:fldChar w:fldCharType="separate"/>
          </w:r>
          <w:hyperlink w:anchor="_Toc15305470" w:history="1">
            <w:r w:rsidR="00444B49" w:rsidRPr="00606791">
              <w:rPr>
                <w:rStyle w:val="Hyperlink"/>
                <w:noProof/>
              </w:rPr>
              <w:t>Overview</w:t>
            </w:r>
            <w:r w:rsidR="00444B49">
              <w:rPr>
                <w:noProof/>
                <w:webHidden/>
              </w:rPr>
              <w:tab/>
            </w:r>
            <w:r w:rsidR="00444B49">
              <w:rPr>
                <w:noProof/>
                <w:webHidden/>
              </w:rPr>
              <w:fldChar w:fldCharType="begin"/>
            </w:r>
            <w:r w:rsidR="00444B49">
              <w:rPr>
                <w:noProof/>
                <w:webHidden/>
              </w:rPr>
              <w:instrText xml:space="preserve"> PAGEREF _Toc15305470 \h </w:instrText>
            </w:r>
            <w:r w:rsidR="00444B49">
              <w:rPr>
                <w:noProof/>
                <w:webHidden/>
              </w:rPr>
            </w:r>
            <w:r w:rsidR="00444B49">
              <w:rPr>
                <w:noProof/>
                <w:webHidden/>
              </w:rPr>
              <w:fldChar w:fldCharType="separate"/>
            </w:r>
            <w:r w:rsidR="00444B49">
              <w:rPr>
                <w:noProof/>
                <w:webHidden/>
              </w:rPr>
              <w:t>1</w:t>
            </w:r>
            <w:r w:rsidR="00444B49">
              <w:rPr>
                <w:noProof/>
                <w:webHidden/>
              </w:rPr>
              <w:fldChar w:fldCharType="end"/>
            </w:r>
          </w:hyperlink>
        </w:p>
        <w:p w14:paraId="34E18B23" w14:textId="77777777" w:rsidR="00444B49" w:rsidRDefault="008B6805">
          <w:pPr>
            <w:pStyle w:val="TOC1"/>
            <w:tabs>
              <w:tab w:val="right" w:leader="dot" w:pos="9350"/>
            </w:tabs>
            <w:rPr>
              <w:rFonts w:eastAsiaTheme="minorEastAsia"/>
              <w:noProof/>
              <w:color w:val="auto"/>
              <w:sz w:val="22"/>
              <w:szCs w:val="22"/>
              <w:lang w:eastAsia="en-US"/>
            </w:rPr>
          </w:pPr>
          <w:hyperlink w:anchor="_Toc15305471" w:history="1">
            <w:r w:rsidR="00444B49" w:rsidRPr="00606791">
              <w:rPr>
                <w:rStyle w:val="Hyperlink"/>
                <w:noProof/>
              </w:rPr>
              <w:t>Background</w:t>
            </w:r>
            <w:r w:rsidR="00444B49">
              <w:rPr>
                <w:noProof/>
                <w:webHidden/>
              </w:rPr>
              <w:tab/>
            </w:r>
            <w:r w:rsidR="00444B49">
              <w:rPr>
                <w:noProof/>
                <w:webHidden/>
              </w:rPr>
              <w:fldChar w:fldCharType="begin"/>
            </w:r>
            <w:r w:rsidR="00444B49">
              <w:rPr>
                <w:noProof/>
                <w:webHidden/>
              </w:rPr>
              <w:instrText xml:space="preserve"> PAGEREF _Toc15305471 \h </w:instrText>
            </w:r>
            <w:r w:rsidR="00444B49">
              <w:rPr>
                <w:noProof/>
                <w:webHidden/>
              </w:rPr>
            </w:r>
            <w:r w:rsidR="00444B49">
              <w:rPr>
                <w:noProof/>
                <w:webHidden/>
              </w:rPr>
              <w:fldChar w:fldCharType="separate"/>
            </w:r>
            <w:r w:rsidR="00444B49">
              <w:rPr>
                <w:noProof/>
                <w:webHidden/>
              </w:rPr>
              <w:t>1</w:t>
            </w:r>
            <w:r w:rsidR="00444B49">
              <w:rPr>
                <w:noProof/>
                <w:webHidden/>
              </w:rPr>
              <w:fldChar w:fldCharType="end"/>
            </w:r>
          </w:hyperlink>
        </w:p>
        <w:p w14:paraId="4BA37FBA" w14:textId="77777777" w:rsidR="00444B49" w:rsidRDefault="008B6805">
          <w:pPr>
            <w:pStyle w:val="TOC1"/>
            <w:tabs>
              <w:tab w:val="right" w:leader="dot" w:pos="9350"/>
            </w:tabs>
            <w:rPr>
              <w:rFonts w:eastAsiaTheme="minorEastAsia"/>
              <w:noProof/>
              <w:color w:val="auto"/>
              <w:sz w:val="22"/>
              <w:szCs w:val="22"/>
              <w:lang w:eastAsia="en-US"/>
            </w:rPr>
          </w:pPr>
          <w:hyperlink w:anchor="_Toc15305472" w:history="1">
            <w:r w:rsidR="00444B49" w:rsidRPr="00606791">
              <w:rPr>
                <w:rStyle w:val="Hyperlink"/>
                <w:noProof/>
              </w:rPr>
              <w:t>Submission of project proposals</w:t>
            </w:r>
            <w:r w:rsidR="00444B49">
              <w:rPr>
                <w:noProof/>
                <w:webHidden/>
              </w:rPr>
              <w:tab/>
            </w:r>
            <w:r w:rsidR="00444B49">
              <w:rPr>
                <w:noProof/>
                <w:webHidden/>
              </w:rPr>
              <w:fldChar w:fldCharType="begin"/>
            </w:r>
            <w:r w:rsidR="00444B49">
              <w:rPr>
                <w:noProof/>
                <w:webHidden/>
              </w:rPr>
              <w:instrText xml:space="preserve"> PAGEREF _Toc15305472 \h </w:instrText>
            </w:r>
            <w:r w:rsidR="00444B49">
              <w:rPr>
                <w:noProof/>
                <w:webHidden/>
              </w:rPr>
            </w:r>
            <w:r w:rsidR="00444B49">
              <w:rPr>
                <w:noProof/>
                <w:webHidden/>
              </w:rPr>
              <w:fldChar w:fldCharType="separate"/>
            </w:r>
            <w:r w:rsidR="00444B49">
              <w:rPr>
                <w:noProof/>
                <w:webHidden/>
              </w:rPr>
              <w:t>2</w:t>
            </w:r>
            <w:r w:rsidR="00444B49">
              <w:rPr>
                <w:noProof/>
                <w:webHidden/>
              </w:rPr>
              <w:fldChar w:fldCharType="end"/>
            </w:r>
          </w:hyperlink>
        </w:p>
        <w:p w14:paraId="5A67DD62" w14:textId="77777777" w:rsidR="00444B49" w:rsidRDefault="008B6805">
          <w:pPr>
            <w:pStyle w:val="TOC1"/>
            <w:tabs>
              <w:tab w:val="right" w:leader="dot" w:pos="9350"/>
            </w:tabs>
            <w:rPr>
              <w:rFonts w:eastAsiaTheme="minorEastAsia"/>
              <w:noProof/>
              <w:color w:val="auto"/>
              <w:sz w:val="22"/>
              <w:szCs w:val="22"/>
              <w:lang w:eastAsia="en-US"/>
            </w:rPr>
          </w:pPr>
          <w:hyperlink w:anchor="_Toc15305473" w:history="1">
            <w:r w:rsidR="00444B49" w:rsidRPr="00606791">
              <w:rPr>
                <w:rStyle w:val="Hyperlink"/>
                <w:noProof/>
              </w:rPr>
              <w:t>Project Selection</w:t>
            </w:r>
            <w:r w:rsidR="00444B49">
              <w:rPr>
                <w:noProof/>
                <w:webHidden/>
              </w:rPr>
              <w:tab/>
            </w:r>
            <w:r w:rsidR="00444B49">
              <w:rPr>
                <w:noProof/>
                <w:webHidden/>
              </w:rPr>
              <w:fldChar w:fldCharType="begin"/>
            </w:r>
            <w:r w:rsidR="00444B49">
              <w:rPr>
                <w:noProof/>
                <w:webHidden/>
              </w:rPr>
              <w:instrText xml:space="preserve"> PAGEREF _Toc15305473 \h </w:instrText>
            </w:r>
            <w:r w:rsidR="00444B49">
              <w:rPr>
                <w:noProof/>
                <w:webHidden/>
              </w:rPr>
            </w:r>
            <w:r w:rsidR="00444B49">
              <w:rPr>
                <w:noProof/>
                <w:webHidden/>
              </w:rPr>
              <w:fldChar w:fldCharType="separate"/>
            </w:r>
            <w:r w:rsidR="00444B49">
              <w:rPr>
                <w:noProof/>
                <w:webHidden/>
              </w:rPr>
              <w:t>2</w:t>
            </w:r>
            <w:r w:rsidR="00444B49">
              <w:rPr>
                <w:noProof/>
                <w:webHidden/>
              </w:rPr>
              <w:fldChar w:fldCharType="end"/>
            </w:r>
          </w:hyperlink>
        </w:p>
        <w:p w14:paraId="5DA4D822"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74" w:history="1">
            <w:r w:rsidR="00444B49" w:rsidRPr="00606791">
              <w:rPr>
                <w:rStyle w:val="Hyperlink"/>
                <w:noProof/>
              </w:rPr>
              <w:t>1.</w:t>
            </w:r>
            <w:r w:rsidR="00444B49">
              <w:rPr>
                <w:rFonts w:eastAsiaTheme="minorEastAsia"/>
                <w:noProof/>
                <w:color w:val="auto"/>
                <w:sz w:val="22"/>
                <w:szCs w:val="22"/>
                <w:lang w:eastAsia="en-US"/>
              </w:rPr>
              <w:tab/>
            </w:r>
            <w:r w:rsidR="00444B49" w:rsidRPr="00606791">
              <w:rPr>
                <w:rStyle w:val="Hyperlink"/>
                <w:noProof/>
              </w:rPr>
              <w:t>Assessment procedure</w:t>
            </w:r>
            <w:r w:rsidR="00444B49">
              <w:rPr>
                <w:noProof/>
                <w:webHidden/>
              </w:rPr>
              <w:tab/>
            </w:r>
            <w:r w:rsidR="00444B49">
              <w:rPr>
                <w:noProof/>
                <w:webHidden/>
              </w:rPr>
              <w:fldChar w:fldCharType="begin"/>
            </w:r>
            <w:r w:rsidR="00444B49">
              <w:rPr>
                <w:noProof/>
                <w:webHidden/>
              </w:rPr>
              <w:instrText xml:space="preserve"> PAGEREF _Toc15305474 \h </w:instrText>
            </w:r>
            <w:r w:rsidR="00444B49">
              <w:rPr>
                <w:noProof/>
                <w:webHidden/>
              </w:rPr>
            </w:r>
            <w:r w:rsidR="00444B49">
              <w:rPr>
                <w:noProof/>
                <w:webHidden/>
              </w:rPr>
              <w:fldChar w:fldCharType="separate"/>
            </w:r>
            <w:r w:rsidR="00444B49">
              <w:rPr>
                <w:noProof/>
                <w:webHidden/>
              </w:rPr>
              <w:t>3</w:t>
            </w:r>
            <w:r w:rsidR="00444B49">
              <w:rPr>
                <w:noProof/>
                <w:webHidden/>
              </w:rPr>
              <w:fldChar w:fldCharType="end"/>
            </w:r>
          </w:hyperlink>
        </w:p>
        <w:p w14:paraId="180480E6"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75" w:history="1">
            <w:r w:rsidR="00444B49" w:rsidRPr="00606791">
              <w:rPr>
                <w:rStyle w:val="Hyperlink"/>
                <w:noProof/>
              </w:rPr>
              <w:t>2.</w:t>
            </w:r>
            <w:r w:rsidR="00444B49">
              <w:rPr>
                <w:rFonts w:eastAsiaTheme="minorEastAsia"/>
                <w:noProof/>
                <w:color w:val="auto"/>
                <w:sz w:val="22"/>
                <w:szCs w:val="22"/>
                <w:lang w:eastAsia="en-US"/>
              </w:rPr>
              <w:tab/>
            </w:r>
            <w:r w:rsidR="00444B49" w:rsidRPr="00606791">
              <w:rPr>
                <w:rStyle w:val="Hyperlink"/>
                <w:noProof/>
              </w:rPr>
              <w:t>Announcement of results</w:t>
            </w:r>
            <w:r w:rsidR="00444B49">
              <w:rPr>
                <w:noProof/>
                <w:webHidden/>
              </w:rPr>
              <w:tab/>
            </w:r>
            <w:r w:rsidR="00444B49">
              <w:rPr>
                <w:noProof/>
                <w:webHidden/>
              </w:rPr>
              <w:fldChar w:fldCharType="begin"/>
            </w:r>
            <w:r w:rsidR="00444B49">
              <w:rPr>
                <w:noProof/>
                <w:webHidden/>
              </w:rPr>
              <w:instrText xml:space="preserve"> PAGEREF _Toc15305475 \h </w:instrText>
            </w:r>
            <w:r w:rsidR="00444B49">
              <w:rPr>
                <w:noProof/>
                <w:webHidden/>
              </w:rPr>
            </w:r>
            <w:r w:rsidR="00444B49">
              <w:rPr>
                <w:noProof/>
                <w:webHidden/>
              </w:rPr>
              <w:fldChar w:fldCharType="separate"/>
            </w:r>
            <w:r w:rsidR="00444B49">
              <w:rPr>
                <w:noProof/>
                <w:webHidden/>
              </w:rPr>
              <w:t>5</w:t>
            </w:r>
            <w:r w:rsidR="00444B49">
              <w:rPr>
                <w:noProof/>
                <w:webHidden/>
              </w:rPr>
              <w:fldChar w:fldCharType="end"/>
            </w:r>
          </w:hyperlink>
        </w:p>
        <w:p w14:paraId="7FD1A449" w14:textId="77777777" w:rsidR="00444B49" w:rsidRDefault="008B6805">
          <w:pPr>
            <w:pStyle w:val="TOC1"/>
            <w:tabs>
              <w:tab w:val="right" w:leader="dot" w:pos="9350"/>
            </w:tabs>
            <w:rPr>
              <w:rFonts w:eastAsiaTheme="minorEastAsia"/>
              <w:noProof/>
              <w:color w:val="auto"/>
              <w:sz w:val="22"/>
              <w:szCs w:val="22"/>
              <w:lang w:eastAsia="en-US"/>
            </w:rPr>
          </w:pPr>
          <w:hyperlink w:anchor="_Toc15305476" w:history="1">
            <w:r w:rsidR="00444B49" w:rsidRPr="00606791">
              <w:rPr>
                <w:rStyle w:val="Hyperlink"/>
                <w:noProof/>
              </w:rPr>
              <w:t>Implementation of selected projects</w:t>
            </w:r>
            <w:r w:rsidR="00444B49">
              <w:rPr>
                <w:noProof/>
                <w:webHidden/>
              </w:rPr>
              <w:tab/>
            </w:r>
            <w:r w:rsidR="00444B49">
              <w:rPr>
                <w:noProof/>
                <w:webHidden/>
              </w:rPr>
              <w:fldChar w:fldCharType="begin"/>
            </w:r>
            <w:r w:rsidR="00444B49">
              <w:rPr>
                <w:noProof/>
                <w:webHidden/>
              </w:rPr>
              <w:instrText xml:space="preserve"> PAGEREF _Toc15305476 \h </w:instrText>
            </w:r>
            <w:r w:rsidR="00444B49">
              <w:rPr>
                <w:noProof/>
                <w:webHidden/>
              </w:rPr>
            </w:r>
            <w:r w:rsidR="00444B49">
              <w:rPr>
                <w:noProof/>
                <w:webHidden/>
              </w:rPr>
              <w:fldChar w:fldCharType="separate"/>
            </w:r>
            <w:r w:rsidR="00444B49">
              <w:rPr>
                <w:noProof/>
                <w:webHidden/>
              </w:rPr>
              <w:t>5</w:t>
            </w:r>
            <w:r w:rsidR="00444B49">
              <w:rPr>
                <w:noProof/>
                <w:webHidden/>
              </w:rPr>
              <w:fldChar w:fldCharType="end"/>
            </w:r>
          </w:hyperlink>
        </w:p>
        <w:p w14:paraId="28986F38"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77" w:history="1">
            <w:r w:rsidR="00444B49" w:rsidRPr="00606791">
              <w:rPr>
                <w:rStyle w:val="Hyperlink"/>
                <w:noProof/>
              </w:rPr>
              <w:t>1.</w:t>
            </w:r>
            <w:r w:rsidR="00444B49">
              <w:rPr>
                <w:rFonts w:eastAsiaTheme="minorEastAsia"/>
                <w:noProof/>
                <w:color w:val="auto"/>
                <w:sz w:val="22"/>
                <w:szCs w:val="22"/>
                <w:lang w:eastAsia="en-US"/>
              </w:rPr>
              <w:tab/>
            </w:r>
            <w:r w:rsidR="00444B49" w:rsidRPr="00606791">
              <w:rPr>
                <w:rStyle w:val="Hyperlink"/>
                <w:noProof/>
              </w:rPr>
              <w:t>Financial management and project implementation</w:t>
            </w:r>
            <w:r w:rsidR="00444B49">
              <w:rPr>
                <w:noProof/>
                <w:webHidden/>
              </w:rPr>
              <w:tab/>
            </w:r>
            <w:r w:rsidR="00444B49">
              <w:rPr>
                <w:noProof/>
                <w:webHidden/>
              </w:rPr>
              <w:fldChar w:fldCharType="begin"/>
            </w:r>
            <w:r w:rsidR="00444B49">
              <w:rPr>
                <w:noProof/>
                <w:webHidden/>
              </w:rPr>
              <w:instrText xml:space="preserve"> PAGEREF _Toc15305477 \h </w:instrText>
            </w:r>
            <w:r w:rsidR="00444B49">
              <w:rPr>
                <w:noProof/>
                <w:webHidden/>
              </w:rPr>
            </w:r>
            <w:r w:rsidR="00444B49">
              <w:rPr>
                <w:noProof/>
                <w:webHidden/>
              </w:rPr>
              <w:fldChar w:fldCharType="separate"/>
            </w:r>
            <w:r w:rsidR="00444B49">
              <w:rPr>
                <w:noProof/>
                <w:webHidden/>
              </w:rPr>
              <w:t>5</w:t>
            </w:r>
            <w:r w:rsidR="00444B49">
              <w:rPr>
                <w:noProof/>
                <w:webHidden/>
              </w:rPr>
              <w:fldChar w:fldCharType="end"/>
            </w:r>
          </w:hyperlink>
        </w:p>
        <w:p w14:paraId="7AEF83FE"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78" w:history="1">
            <w:r w:rsidR="00444B49" w:rsidRPr="00606791">
              <w:rPr>
                <w:rStyle w:val="Hyperlink"/>
                <w:noProof/>
              </w:rPr>
              <w:t>2.</w:t>
            </w:r>
            <w:r w:rsidR="00444B49">
              <w:rPr>
                <w:rFonts w:eastAsiaTheme="minorEastAsia"/>
                <w:noProof/>
                <w:color w:val="auto"/>
                <w:sz w:val="22"/>
                <w:szCs w:val="22"/>
                <w:lang w:eastAsia="en-US"/>
              </w:rPr>
              <w:tab/>
            </w:r>
            <w:r w:rsidR="00444B49" w:rsidRPr="00606791">
              <w:rPr>
                <w:rStyle w:val="Hyperlink"/>
                <w:noProof/>
              </w:rPr>
              <w:t>Monitoring and reporting</w:t>
            </w:r>
            <w:r w:rsidR="00444B49">
              <w:rPr>
                <w:noProof/>
                <w:webHidden/>
              </w:rPr>
              <w:tab/>
            </w:r>
            <w:r w:rsidR="00444B49">
              <w:rPr>
                <w:noProof/>
                <w:webHidden/>
              </w:rPr>
              <w:fldChar w:fldCharType="begin"/>
            </w:r>
            <w:r w:rsidR="00444B49">
              <w:rPr>
                <w:noProof/>
                <w:webHidden/>
              </w:rPr>
              <w:instrText xml:space="preserve"> PAGEREF _Toc15305478 \h </w:instrText>
            </w:r>
            <w:r w:rsidR="00444B49">
              <w:rPr>
                <w:noProof/>
                <w:webHidden/>
              </w:rPr>
            </w:r>
            <w:r w:rsidR="00444B49">
              <w:rPr>
                <w:noProof/>
                <w:webHidden/>
              </w:rPr>
              <w:fldChar w:fldCharType="separate"/>
            </w:r>
            <w:r w:rsidR="00444B49">
              <w:rPr>
                <w:noProof/>
                <w:webHidden/>
              </w:rPr>
              <w:t>6</w:t>
            </w:r>
            <w:r w:rsidR="00444B49">
              <w:rPr>
                <w:noProof/>
                <w:webHidden/>
              </w:rPr>
              <w:fldChar w:fldCharType="end"/>
            </w:r>
          </w:hyperlink>
        </w:p>
        <w:p w14:paraId="51A7A082"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79" w:history="1">
            <w:r w:rsidR="00444B49" w:rsidRPr="00606791">
              <w:rPr>
                <w:rStyle w:val="Hyperlink"/>
                <w:noProof/>
                <w:lang w:val="en-GB"/>
              </w:rPr>
              <w:t>3.</w:t>
            </w:r>
            <w:r w:rsidR="00444B49">
              <w:rPr>
                <w:rFonts w:eastAsiaTheme="minorEastAsia"/>
                <w:noProof/>
                <w:color w:val="auto"/>
                <w:sz w:val="22"/>
                <w:szCs w:val="22"/>
                <w:lang w:eastAsia="en-US"/>
              </w:rPr>
              <w:tab/>
            </w:r>
            <w:r w:rsidR="00444B49" w:rsidRPr="00606791">
              <w:rPr>
                <w:rStyle w:val="Hyperlink"/>
                <w:noProof/>
                <w:lang w:val="en-GB"/>
              </w:rPr>
              <w:t>Communication and visibility</w:t>
            </w:r>
            <w:r w:rsidR="00444B49">
              <w:rPr>
                <w:noProof/>
                <w:webHidden/>
              </w:rPr>
              <w:tab/>
            </w:r>
            <w:r w:rsidR="00444B49">
              <w:rPr>
                <w:noProof/>
                <w:webHidden/>
              </w:rPr>
              <w:fldChar w:fldCharType="begin"/>
            </w:r>
            <w:r w:rsidR="00444B49">
              <w:rPr>
                <w:noProof/>
                <w:webHidden/>
              </w:rPr>
              <w:instrText xml:space="preserve"> PAGEREF _Toc15305479 \h </w:instrText>
            </w:r>
            <w:r w:rsidR="00444B49">
              <w:rPr>
                <w:noProof/>
                <w:webHidden/>
              </w:rPr>
            </w:r>
            <w:r w:rsidR="00444B49">
              <w:rPr>
                <w:noProof/>
                <w:webHidden/>
              </w:rPr>
              <w:fldChar w:fldCharType="separate"/>
            </w:r>
            <w:r w:rsidR="00444B49">
              <w:rPr>
                <w:noProof/>
                <w:webHidden/>
              </w:rPr>
              <w:t>7</w:t>
            </w:r>
            <w:r w:rsidR="00444B49">
              <w:rPr>
                <w:noProof/>
                <w:webHidden/>
              </w:rPr>
              <w:fldChar w:fldCharType="end"/>
            </w:r>
          </w:hyperlink>
        </w:p>
        <w:p w14:paraId="26C5712C"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80" w:history="1">
            <w:r w:rsidR="00444B49" w:rsidRPr="00606791">
              <w:rPr>
                <w:rStyle w:val="Hyperlink"/>
                <w:noProof/>
              </w:rPr>
              <w:t>4.</w:t>
            </w:r>
            <w:r w:rsidR="00444B49">
              <w:rPr>
                <w:rFonts w:eastAsiaTheme="minorEastAsia"/>
                <w:noProof/>
                <w:color w:val="auto"/>
                <w:sz w:val="22"/>
                <w:szCs w:val="22"/>
                <w:lang w:eastAsia="en-US"/>
              </w:rPr>
              <w:tab/>
            </w:r>
            <w:r w:rsidR="00444B49" w:rsidRPr="00606791">
              <w:rPr>
                <w:rStyle w:val="Hyperlink"/>
                <w:noProof/>
                <w:lang w:val="en-GB"/>
              </w:rPr>
              <w:t>Evaluation</w:t>
            </w:r>
            <w:r w:rsidR="00444B49">
              <w:rPr>
                <w:noProof/>
                <w:webHidden/>
              </w:rPr>
              <w:tab/>
            </w:r>
            <w:r w:rsidR="00444B49">
              <w:rPr>
                <w:noProof/>
                <w:webHidden/>
              </w:rPr>
              <w:fldChar w:fldCharType="begin"/>
            </w:r>
            <w:r w:rsidR="00444B49">
              <w:rPr>
                <w:noProof/>
                <w:webHidden/>
              </w:rPr>
              <w:instrText xml:space="preserve"> PAGEREF _Toc15305480 \h </w:instrText>
            </w:r>
            <w:r w:rsidR="00444B49">
              <w:rPr>
                <w:noProof/>
                <w:webHidden/>
              </w:rPr>
            </w:r>
            <w:r w:rsidR="00444B49">
              <w:rPr>
                <w:noProof/>
                <w:webHidden/>
              </w:rPr>
              <w:fldChar w:fldCharType="separate"/>
            </w:r>
            <w:r w:rsidR="00444B49">
              <w:rPr>
                <w:noProof/>
                <w:webHidden/>
              </w:rPr>
              <w:t>7</w:t>
            </w:r>
            <w:r w:rsidR="00444B49">
              <w:rPr>
                <w:noProof/>
                <w:webHidden/>
              </w:rPr>
              <w:fldChar w:fldCharType="end"/>
            </w:r>
          </w:hyperlink>
        </w:p>
        <w:p w14:paraId="7F936592" w14:textId="77777777" w:rsidR="00444B49" w:rsidRDefault="008B6805">
          <w:pPr>
            <w:pStyle w:val="TOC2"/>
            <w:tabs>
              <w:tab w:val="left" w:pos="660"/>
              <w:tab w:val="right" w:leader="dot" w:pos="9350"/>
            </w:tabs>
            <w:rPr>
              <w:rFonts w:eastAsiaTheme="minorEastAsia"/>
              <w:noProof/>
              <w:color w:val="auto"/>
              <w:sz w:val="22"/>
              <w:szCs w:val="22"/>
              <w:lang w:eastAsia="en-US"/>
            </w:rPr>
          </w:pPr>
          <w:hyperlink w:anchor="_Toc15305481" w:history="1">
            <w:r w:rsidR="00444B49" w:rsidRPr="00606791">
              <w:rPr>
                <w:rStyle w:val="Hyperlink"/>
                <w:noProof/>
              </w:rPr>
              <w:t>5.</w:t>
            </w:r>
            <w:r w:rsidR="00444B49">
              <w:rPr>
                <w:rFonts w:eastAsiaTheme="minorEastAsia"/>
                <w:noProof/>
                <w:color w:val="auto"/>
                <w:sz w:val="22"/>
                <w:szCs w:val="22"/>
                <w:lang w:eastAsia="en-US"/>
              </w:rPr>
              <w:tab/>
            </w:r>
            <w:r w:rsidR="00444B49" w:rsidRPr="00606791">
              <w:rPr>
                <w:rStyle w:val="Hyperlink"/>
                <w:noProof/>
              </w:rPr>
              <w:t>Knowledge management</w:t>
            </w:r>
            <w:r w:rsidR="00444B49">
              <w:rPr>
                <w:noProof/>
                <w:webHidden/>
              </w:rPr>
              <w:tab/>
            </w:r>
            <w:r w:rsidR="00444B49">
              <w:rPr>
                <w:noProof/>
                <w:webHidden/>
              </w:rPr>
              <w:fldChar w:fldCharType="begin"/>
            </w:r>
            <w:r w:rsidR="00444B49">
              <w:rPr>
                <w:noProof/>
                <w:webHidden/>
              </w:rPr>
              <w:instrText xml:space="preserve"> PAGEREF _Toc15305481 \h </w:instrText>
            </w:r>
            <w:r w:rsidR="00444B49">
              <w:rPr>
                <w:noProof/>
                <w:webHidden/>
              </w:rPr>
            </w:r>
            <w:r w:rsidR="00444B49">
              <w:rPr>
                <w:noProof/>
                <w:webHidden/>
              </w:rPr>
              <w:fldChar w:fldCharType="separate"/>
            </w:r>
            <w:r w:rsidR="00444B49">
              <w:rPr>
                <w:noProof/>
                <w:webHidden/>
              </w:rPr>
              <w:t>7</w:t>
            </w:r>
            <w:r w:rsidR="00444B49">
              <w:rPr>
                <w:noProof/>
                <w:webHidden/>
              </w:rPr>
              <w:fldChar w:fldCharType="end"/>
            </w:r>
          </w:hyperlink>
        </w:p>
        <w:p w14:paraId="54AC81E8" w14:textId="77777777" w:rsidR="00444B49" w:rsidRDefault="008B6805">
          <w:pPr>
            <w:pStyle w:val="TOC1"/>
            <w:tabs>
              <w:tab w:val="right" w:leader="dot" w:pos="9350"/>
            </w:tabs>
            <w:rPr>
              <w:rFonts w:eastAsiaTheme="minorEastAsia"/>
              <w:noProof/>
              <w:color w:val="auto"/>
              <w:sz w:val="22"/>
              <w:szCs w:val="22"/>
              <w:lang w:eastAsia="en-US"/>
            </w:rPr>
          </w:pPr>
          <w:hyperlink w:anchor="_Toc15305482" w:history="1">
            <w:r w:rsidR="00444B49" w:rsidRPr="00606791">
              <w:rPr>
                <w:rStyle w:val="Hyperlink"/>
                <w:noProof/>
              </w:rPr>
              <w:t>Annexes</w:t>
            </w:r>
            <w:r w:rsidR="00444B49">
              <w:rPr>
                <w:noProof/>
                <w:webHidden/>
              </w:rPr>
              <w:tab/>
            </w:r>
            <w:r w:rsidR="00444B49">
              <w:rPr>
                <w:noProof/>
                <w:webHidden/>
              </w:rPr>
              <w:fldChar w:fldCharType="begin"/>
            </w:r>
            <w:r w:rsidR="00444B49">
              <w:rPr>
                <w:noProof/>
                <w:webHidden/>
              </w:rPr>
              <w:instrText xml:space="preserve"> PAGEREF _Toc15305482 \h </w:instrText>
            </w:r>
            <w:r w:rsidR="00444B49">
              <w:rPr>
                <w:noProof/>
                <w:webHidden/>
              </w:rPr>
            </w:r>
            <w:r w:rsidR="00444B49">
              <w:rPr>
                <w:noProof/>
                <w:webHidden/>
              </w:rPr>
              <w:fldChar w:fldCharType="separate"/>
            </w:r>
            <w:r w:rsidR="00444B49">
              <w:rPr>
                <w:noProof/>
                <w:webHidden/>
              </w:rPr>
              <w:t>8</w:t>
            </w:r>
            <w:r w:rsidR="00444B49">
              <w:rPr>
                <w:noProof/>
                <w:webHidden/>
              </w:rPr>
              <w:fldChar w:fldCharType="end"/>
            </w:r>
          </w:hyperlink>
        </w:p>
        <w:p w14:paraId="77C1BA4E" w14:textId="2998559F" w:rsidR="00B90C0F" w:rsidRDefault="00B90C0F">
          <w:r>
            <w:rPr>
              <w:b/>
              <w:bCs/>
              <w:noProof/>
            </w:rPr>
            <w:fldChar w:fldCharType="end"/>
          </w:r>
        </w:p>
      </w:sdtContent>
    </w:sdt>
    <w:p w14:paraId="07192168" w14:textId="77777777" w:rsidR="00B90C0F" w:rsidRDefault="00B90C0F" w:rsidP="006136BB">
      <w:pPr>
        <w:spacing w:line="240" w:lineRule="auto"/>
      </w:pPr>
    </w:p>
    <w:p w14:paraId="0E82A990" w14:textId="77777777" w:rsidR="003312ED" w:rsidRDefault="00A373AF" w:rsidP="006136BB">
      <w:pPr>
        <w:pStyle w:val="Heading1"/>
        <w:jc w:val="both"/>
      </w:pPr>
      <w:bookmarkStart w:id="1" w:name="_Toc15305470"/>
      <w:r>
        <w:t>Overview</w:t>
      </w:r>
      <w:bookmarkEnd w:id="1"/>
    </w:p>
    <w:p w14:paraId="0E82A991" w14:textId="77777777" w:rsidR="0094157F" w:rsidRDefault="0014251C" w:rsidP="006136BB">
      <w:pPr>
        <w:spacing w:line="240" w:lineRule="auto"/>
        <w:jc w:val="both"/>
        <w:rPr>
          <w:rFonts w:ascii="Calibri" w:hAnsi="Calibri"/>
          <w:sz w:val="22"/>
          <w:szCs w:val="22"/>
        </w:rPr>
      </w:pPr>
      <w:r w:rsidRPr="0014251C">
        <w:rPr>
          <w:rFonts w:ascii="Calibri" w:hAnsi="Calibri"/>
          <w:sz w:val="22"/>
          <w:szCs w:val="22"/>
        </w:rPr>
        <w:t xml:space="preserve">This </w:t>
      </w:r>
      <w:r w:rsidR="00B81BCA">
        <w:rPr>
          <w:rFonts w:ascii="Calibri" w:hAnsi="Calibri"/>
          <w:sz w:val="22"/>
          <w:szCs w:val="22"/>
        </w:rPr>
        <w:t xml:space="preserve">Call for Proposals </w:t>
      </w:r>
      <w:r>
        <w:rPr>
          <w:rFonts w:ascii="Calibri" w:hAnsi="Calibri"/>
          <w:sz w:val="22"/>
          <w:szCs w:val="22"/>
        </w:rPr>
        <w:t xml:space="preserve">describes the procedures for submitting </w:t>
      </w:r>
      <w:r w:rsidR="0094157F">
        <w:rPr>
          <w:rFonts w:ascii="Calibri" w:hAnsi="Calibri"/>
          <w:sz w:val="22"/>
          <w:szCs w:val="22"/>
        </w:rPr>
        <w:t xml:space="preserve">and evaluating the </w:t>
      </w:r>
      <w:r>
        <w:rPr>
          <w:rFonts w:ascii="Calibri" w:hAnsi="Calibri"/>
          <w:sz w:val="22"/>
          <w:szCs w:val="22"/>
        </w:rPr>
        <w:t>project proposals to be funded through the</w:t>
      </w:r>
      <w:r w:rsidR="00122C02">
        <w:rPr>
          <w:rFonts w:ascii="Calibri" w:hAnsi="Calibri"/>
          <w:sz w:val="22"/>
          <w:szCs w:val="22"/>
        </w:rPr>
        <w:t xml:space="preserve"> </w:t>
      </w:r>
      <w:r w:rsidR="00122C02" w:rsidRPr="00122C02">
        <w:rPr>
          <w:rFonts w:ascii="Calibri" w:hAnsi="Calibri"/>
          <w:i/>
          <w:sz w:val="22"/>
          <w:szCs w:val="22"/>
        </w:rPr>
        <w:t>Western Balkans SALW Control Roadmap</w:t>
      </w:r>
      <w:r w:rsidRPr="00122C02">
        <w:rPr>
          <w:rFonts w:ascii="Calibri" w:hAnsi="Calibri"/>
          <w:i/>
          <w:sz w:val="22"/>
          <w:szCs w:val="22"/>
        </w:rPr>
        <w:t xml:space="preserve"> </w:t>
      </w:r>
      <w:r w:rsidR="00122C02" w:rsidRPr="00122C02">
        <w:rPr>
          <w:rFonts w:ascii="Calibri" w:hAnsi="Calibri"/>
          <w:i/>
          <w:sz w:val="22"/>
          <w:szCs w:val="22"/>
        </w:rPr>
        <w:t>MPTF</w:t>
      </w:r>
      <w:r w:rsidR="0094157F">
        <w:rPr>
          <w:rFonts w:ascii="Calibri" w:hAnsi="Calibri"/>
          <w:sz w:val="22"/>
          <w:szCs w:val="22"/>
        </w:rPr>
        <w:t xml:space="preserve">. It also defines the key aspects that </w:t>
      </w:r>
      <w:r w:rsidR="002D1E57">
        <w:rPr>
          <w:rFonts w:ascii="Calibri" w:hAnsi="Calibri"/>
          <w:sz w:val="22"/>
          <w:szCs w:val="22"/>
        </w:rPr>
        <w:t>wi</w:t>
      </w:r>
      <w:r w:rsidR="0094157F">
        <w:rPr>
          <w:rFonts w:ascii="Calibri" w:hAnsi="Calibri"/>
          <w:sz w:val="22"/>
          <w:szCs w:val="22"/>
        </w:rPr>
        <w:t>ll guide the implementation and monitoring of the selected projects.</w:t>
      </w:r>
      <w:r w:rsidR="00122C02">
        <w:rPr>
          <w:rFonts w:ascii="Calibri" w:hAnsi="Calibri"/>
          <w:sz w:val="22"/>
          <w:szCs w:val="22"/>
        </w:rPr>
        <w:t xml:space="preserve"> </w:t>
      </w:r>
    </w:p>
    <w:p w14:paraId="0E82A992" w14:textId="77777777" w:rsidR="00CF4C08" w:rsidRPr="00CF4C08" w:rsidRDefault="00122C02" w:rsidP="006136BB">
      <w:pPr>
        <w:pStyle w:val="Heading1"/>
        <w:jc w:val="both"/>
      </w:pPr>
      <w:bookmarkStart w:id="2" w:name="_Toc15305471"/>
      <w:r>
        <w:t>B</w:t>
      </w:r>
      <w:r w:rsidR="0014251C">
        <w:t>ackground</w:t>
      </w:r>
      <w:bookmarkEnd w:id="2"/>
    </w:p>
    <w:p w14:paraId="0E82A993" w14:textId="10EB4F3F" w:rsidR="00473BC5" w:rsidRDefault="007723E8" w:rsidP="006136BB">
      <w:pPr>
        <w:spacing w:line="240" w:lineRule="auto"/>
        <w:jc w:val="both"/>
        <w:rPr>
          <w:rFonts w:ascii="Calibri" w:hAnsi="Calibri"/>
          <w:sz w:val="22"/>
          <w:szCs w:val="22"/>
        </w:rPr>
      </w:pPr>
      <w:r w:rsidRPr="007723E8">
        <w:rPr>
          <w:rFonts w:ascii="Calibri" w:hAnsi="Calibri"/>
          <w:sz w:val="22"/>
          <w:szCs w:val="22"/>
        </w:rPr>
        <w:t>Developed by six Western Balkan jurisdictions, with SEESAC support and under the auspices of Germany</w:t>
      </w:r>
      <w:r w:rsidR="003A36E7">
        <w:rPr>
          <w:rFonts w:ascii="Calibri" w:hAnsi="Calibri"/>
          <w:sz w:val="22"/>
          <w:szCs w:val="22"/>
        </w:rPr>
        <w:t>,</w:t>
      </w:r>
      <w:r w:rsidRPr="007723E8">
        <w:rPr>
          <w:rFonts w:ascii="Calibri" w:hAnsi="Calibri"/>
          <w:sz w:val="22"/>
          <w:szCs w:val="22"/>
        </w:rPr>
        <w:t xml:space="preserve"> France</w:t>
      </w:r>
      <w:r w:rsidR="00C56C36">
        <w:rPr>
          <w:rFonts w:ascii="Calibri" w:hAnsi="Calibri"/>
          <w:sz w:val="22"/>
          <w:szCs w:val="22"/>
        </w:rPr>
        <w:t xml:space="preserve"> and </w:t>
      </w:r>
      <w:r w:rsidR="008E4B16">
        <w:rPr>
          <w:rFonts w:ascii="Calibri" w:hAnsi="Calibri"/>
          <w:sz w:val="22"/>
          <w:szCs w:val="22"/>
        </w:rPr>
        <w:t xml:space="preserve">in coordination with </w:t>
      </w:r>
      <w:r w:rsidR="00C56C36">
        <w:rPr>
          <w:rFonts w:ascii="Calibri" w:hAnsi="Calibri"/>
          <w:sz w:val="22"/>
          <w:szCs w:val="22"/>
        </w:rPr>
        <w:t>the EU</w:t>
      </w:r>
      <w:r w:rsidRPr="007723E8">
        <w:rPr>
          <w:rFonts w:ascii="Calibri" w:hAnsi="Calibri"/>
          <w:sz w:val="22"/>
          <w:szCs w:val="22"/>
        </w:rPr>
        <w:t xml:space="preserve">, the </w:t>
      </w:r>
      <w:r w:rsidRPr="000713FE">
        <w:rPr>
          <w:rFonts w:ascii="Calibri" w:hAnsi="Calibri"/>
          <w:sz w:val="22"/>
          <w:szCs w:val="22"/>
        </w:rPr>
        <w:t>Roadmap</w:t>
      </w:r>
      <w:r w:rsidR="000713FE">
        <w:rPr>
          <w:rFonts w:ascii="Calibri" w:hAnsi="Calibri"/>
          <w:i/>
          <w:sz w:val="22"/>
          <w:szCs w:val="22"/>
        </w:rPr>
        <w:t xml:space="preserve"> </w:t>
      </w:r>
      <w:r w:rsidR="000713FE">
        <w:rPr>
          <w:rFonts w:ascii="Calibri" w:hAnsi="Calibri"/>
          <w:sz w:val="22"/>
          <w:szCs w:val="22"/>
        </w:rPr>
        <w:t xml:space="preserve">is </w:t>
      </w:r>
      <w:r w:rsidRPr="007723E8">
        <w:rPr>
          <w:rFonts w:ascii="Calibri" w:hAnsi="Calibri"/>
          <w:sz w:val="22"/>
          <w:szCs w:val="22"/>
        </w:rPr>
        <w:t xml:space="preserve">a comprehensive document with a strong regional commitment that will guide </w:t>
      </w:r>
      <w:r w:rsidR="00FE0A79">
        <w:rPr>
          <w:rFonts w:ascii="Calibri" w:hAnsi="Calibri"/>
          <w:sz w:val="22"/>
          <w:szCs w:val="22"/>
        </w:rPr>
        <w:t xml:space="preserve">the activities of </w:t>
      </w:r>
      <w:r w:rsidRPr="007723E8">
        <w:rPr>
          <w:rFonts w:ascii="Calibri" w:hAnsi="Calibri"/>
          <w:sz w:val="22"/>
          <w:szCs w:val="22"/>
        </w:rPr>
        <w:t xml:space="preserve">the Western Balkans </w:t>
      </w:r>
      <w:r w:rsidR="00FE0A79">
        <w:rPr>
          <w:rFonts w:ascii="Calibri" w:hAnsi="Calibri"/>
          <w:sz w:val="22"/>
          <w:szCs w:val="22"/>
        </w:rPr>
        <w:t xml:space="preserve">authorities </w:t>
      </w:r>
      <w:r w:rsidRPr="007723E8">
        <w:rPr>
          <w:rFonts w:ascii="Calibri" w:hAnsi="Calibri"/>
          <w:sz w:val="22"/>
          <w:szCs w:val="22"/>
        </w:rPr>
        <w:t xml:space="preserve">on SALW control in the </w:t>
      </w:r>
      <w:r w:rsidRPr="007723E8">
        <w:rPr>
          <w:rFonts w:ascii="Calibri" w:hAnsi="Calibri"/>
          <w:sz w:val="22"/>
          <w:szCs w:val="22"/>
        </w:rPr>
        <w:lastRenderedPageBreak/>
        <w:t>period 2019-2024. The Roadmap was adopted during the Western Balkans Summit organized in London, on 10 July</w:t>
      </w:r>
      <w:r w:rsidR="008E4B16">
        <w:rPr>
          <w:rFonts w:ascii="Calibri" w:hAnsi="Calibri"/>
          <w:sz w:val="22"/>
          <w:szCs w:val="22"/>
        </w:rPr>
        <w:t xml:space="preserve"> 2018</w:t>
      </w:r>
      <w:r w:rsidRPr="007723E8">
        <w:rPr>
          <w:rFonts w:ascii="Calibri" w:hAnsi="Calibri"/>
          <w:sz w:val="22"/>
          <w:szCs w:val="22"/>
        </w:rPr>
        <w:t>, as a testimony of the consensus reached among all stakeholders in the region about the current challenges, the overall targets to be reached, and timeline of actions to be taken in the area of arms control. The Roadmap envisages a comprehensive approach to SALW control, with measures ranging from securing the stockpiles of firearms and ammunition to mainstreaming gender in SALW control. In this context,</w:t>
      </w:r>
      <w:r w:rsidR="00122C02">
        <w:rPr>
          <w:rFonts w:ascii="Calibri" w:hAnsi="Calibri"/>
          <w:sz w:val="22"/>
          <w:szCs w:val="22"/>
        </w:rPr>
        <w:t xml:space="preserve"> the </w:t>
      </w:r>
      <w:r w:rsidR="00122C02" w:rsidRPr="00213E5C">
        <w:rPr>
          <w:rFonts w:ascii="Calibri" w:hAnsi="Calibri"/>
          <w:b/>
          <w:sz w:val="22"/>
          <w:szCs w:val="22"/>
        </w:rPr>
        <w:t>Western Balkans SALW Control Roadmap MPTF</w:t>
      </w:r>
      <w:r w:rsidR="00122C02">
        <w:rPr>
          <w:rFonts w:ascii="Calibri" w:hAnsi="Calibri"/>
          <w:sz w:val="22"/>
          <w:szCs w:val="22"/>
        </w:rPr>
        <w:t xml:space="preserve"> was established </w:t>
      </w:r>
      <w:r w:rsidR="00122C02" w:rsidRPr="00122C02">
        <w:rPr>
          <w:rFonts w:ascii="Calibri" w:hAnsi="Calibri"/>
          <w:sz w:val="22"/>
          <w:szCs w:val="22"/>
        </w:rPr>
        <w:t xml:space="preserve">to ensure a donor coordinated approach in the implementation of the </w:t>
      </w:r>
      <w:hyperlink r:id="rId8" w:history="1">
        <w:r w:rsidR="00122C02" w:rsidRPr="00213E5C">
          <w:rPr>
            <w:rFonts w:ascii="Calibri" w:hAnsi="Calibri"/>
            <w:sz w:val="22"/>
            <w:szCs w:val="22"/>
          </w:rPr>
          <w:t>Roadmap for a sustainable solution to the illegal possession, misuse and trafficking of Small Arms and Light Weapons and their ammunition in the Western Balkans</w:t>
        </w:r>
      </w:hyperlink>
      <w:r w:rsidR="00122C02" w:rsidRPr="00213E5C">
        <w:rPr>
          <w:rFonts w:ascii="Calibri" w:hAnsi="Calibri"/>
          <w:sz w:val="22"/>
          <w:szCs w:val="22"/>
        </w:rPr>
        <w:t xml:space="preserve">. It will enable a platform </w:t>
      </w:r>
      <w:r w:rsidR="008E4B16">
        <w:rPr>
          <w:rFonts w:ascii="Calibri" w:hAnsi="Calibri"/>
          <w:sz w:val="22"/>
          <w:szCs w:val="22"/>
        </w:rPr>
        <w:t xml:space="preserve">contributing </w:t>
      </w:r>
      <w:r w:rsidR="00122C02" w:rsidRPr="00213E5C">
        <w:rPr>
          <w:rFonts w:ascii="Calibri" w:hAnsi="Calibri"/>
          <w:sz w:val="22"/>
          <w:szCs w:val="22"/>
        </w:rPr>
        <w:t>to strengthen</w:t>
      </w:r>
      <w:r w:rsidR="008E4B16">
        <w:rPr>
          <w:rFonts w:ascii="Calibri" w:hAnsi="Calibri"/>
          <w:sz w:val="22"/>
          <w:szCs w:val="22"/>
        </w:rPr>
        <w:t>ed</w:t>
      </w:r>
      <w:r w:rsidR="00122C02" w:rsidRPr="00213E5C">
        <w:rPr>
          <w:rFonts w:ascii="Calibri" w:hAnsi="Calibri"/>
          <w:sz w:val="22"/>
          <w:szCs w:val="22"/>
        </w:rPr>
        <w:t xml:space="preserve"> coordination, planning and communication among the donors, implementing partners and national authorities, and develop synergies among different players involved in this programmatic area. It also </w:t>
      </w:r>
      <w:r w:rsidR="008E4B16">
        <w:rPr>
          <w:rFonts w:ascii="Calibri" w:hAnsi="Calibri"/>
          <w:sz w:val="22"/>
          <w:szCs w:val="22"/>
        </w:rPr>
        <w:t xml:space="preserve">aims to </w:t>
      </w:r>
      <w:r w:rsidR="00122C02" w:rsidRPr="00213E5C">
        <w:rPr>
          <w:rFonts w:ascii="Calibri" w:hAnsi="Calibri"/>
          <w:sz w:val="22"/>
          <w:szCs w:val="22"/>
        </w:rPr>
        <w:t>reduce</w:t>
      </w:r>
      <w:r w:rsidR="008E4B16">
        <w:rPr>
          <w:rFonts w:ascii="Calibri" w:hAnsi="Calibri"/>
          <w:sz w:val="22"/>
          <w:szCs w:val="22"/>
        </w:rPr>
        <w:t xml:space="preserve"> </w:t>
      </w:r>
      <w:r w:rsidR="00122C02" w:rsidRPr="00213E5C">
        <w:rPr>
          <w:rFonts w:ascii="Calibri" w:hAnsi="Calibri"/>
          <w:sz w:val="22"/>
          <w:szCs w:val="22"/>
        </w:rPr>
        <w:t>risks to governments and financial contributors through a comprehensive risk and results-based management system</w:t>
      </w:r>
      <w:r w:rsidR="00213E5C" w:rsidRPr="00213E5C">
        <w:rPr>
          <w:rFonts w:ascii="Calibri" w:hAnsi="Calibri"/>
          <w:sz w:val="22"/>
          <w:szCs w:val="22"/>
        </w:rPr>
        <w:t>. Its g</w:t>
      </w:r>
      <w:r w:rsidR="00213E5C" w:rsidRPr="00213E5C">
        <w:rPr>
          <w:rFonts w:ascii="Calibri" w:hAnsi="Calibri"/>
          <w:bCs/>
          <w:sz w:val="22"/>
          <w:szCs w:val="22"/>
        </w:rPr>
        <w:t>overnance structure</w:t>
      </w:r>
      <w:r w:rsidR="00213E5C" w:rsidRPr="00213E5C">
        <w:rPr>
          <w:rFonts w:ascii="Calibri" w:hAnsi="Calibri"/>
          <w:sz w:val="22"/>
          <w:szCs w:val="22"/>
        </w:rPr>
        <w:t xml:space="preserve"> includes a </w:t>
      </w:r>
      <w:r w:rsidR="00213E5C" w:rsidRPr="00213E5C">
        <w:rPr>
          <w:rFonts w:ascii="Calibri" w:hAnsi="Calibri"/>
          <w:sz w:val="22"/>
          <w:szCs w:val="22"/>
          <w:u w:val="single"/>
        </w:rPr>
        <w:t>Steering Committee (</w:t>
      </w:r>
      <w:r w:rsidR="00213E5C" w:rsidRPr="00213E5C">
        <w:rPr>
          <w:rFonts w:ascii="Calibri" w:hAnsi="Calibri"/>
          <w:sz w:val="22"/>
          <w:szCs w:val="22"/>
        </w:rPr>
        <w:t xml:space="preserve">chaired by the UNDP), </w:t>
      </w:r>
      <w:r w:rsidR="00213E5C" w:rsidRPr="00213E5C">
        <w:rPr>
          <w:rFonts w:ascii="Calibri" w:hAnsi="Calibri"/>
          <w:sz w:val="22"/>
          <w:szCs w:val="22"/>
          <w:u w:val="single"/>
        </w:rPr>
        <w:t>Secretariat</w:t>
      </w:r>
      <w:r w:rsidR="00213E5C" w:rsidRPr="00213E5C">
        <w:rPr>
          <w:rFonts w:ascii="Calibri" w:hAnsi="Calibri"/>
          <w:sz w:val="22"/>
          <w:szCs w:val="22"/>
        </w:rPr>
        <w:t xml:space="preserve"> (ensured by SEESAC); </w:t>
      </w:r>
      <w:r w:rsidR="00213E5C" w:rsidRPr="00213E5C">
        <w:rPr>
          <w:rFonts w:ascii="Calibri" w:hAnsi="Calibri"/>
          <w:sz w:val="22"/>
          <w:szCs w:val="22"/>
          <w:u w:val="single"/>
        </w:rPr>
        <w:t>Administrative Agent</w:t>
      </w:r>
      <w:r w:rsidR="00213E5C" w:rsidRPr="00213E5C">
        <w:rPr>
          <w:rFonts w:ascii="Calibri" w:hAnsi="Calibri"/>
          <w:sz w:val="22"/>
          <w:szCs w:val="22"/>
        </w:rPr>
        <w:t xml:space="preserve"> (MPTF Office) and </w:t>
      </w:r>
      <w:r w:rsidR="008156E7">
        <w:rPr>
          <w:rFonts w:ascii="Calibri" w:hAnsi="Calibri"/>
          <w:sz w:val="22"/>
          <w:szCs w:val="22"/>
          <w:u w:val="single"/>
        </w:rPr>
        <w:t>participating UN organizations</w:t>
      </w:r>
      <w:r w:rsidR="00213E5C" w:rsidRPr="00213E5C">
        <w:rPr>
          <w:rFonts w:ascii="Calibri" w:hAnsi="Calibri"/>
          <w:sz w:val="22"/>
          <w:szCs w:val="22"/>
        </w:rPr>
        <w:t xml:space="preserve"> (UNDP and UNODC)</w:t>
      </w:r>
      <w:r w:rsidR="00213E5C">
        <w:rPr>
          <w:rFonts w:ascii="Calibri" w:hAnsi="Calibri"/>
          <w:sz w:val="22"/>
          <w:szCs w:val="22"/>
        </w:rPr>
        <w:t xml:space="preserve">. </w:t>
      </w:r>
    </w:p>
    <w:p w14:paraId="0E82A994" w14:textId="77777777" w:rsidR="0014251C" w:rsidRDefault="0014251C" w:rsidP="006136BB">
      <w:pPr>
        <w:pStyle w:val="Heading1"/>
      </w:pPr>
      <w:bookmarkStart w:id="3" w:name="_Toc15305472"/>
      <w:r>
        <w:t>Submission of project proposals</w:t>
      </w:r>
      <w:bookmarkEnd w:id="3"/>
    </w:p>
    <w:p w14:paraId="5A6FD67C" w14:textId="0C02BC0B" w:rsidR="0088689B" w:rsidRDefault="0014251C" w:rsidP="006136BB">
      <w:pPr>
        <w:spacing w:line="240" w:lineRule="auto"/>
        <w:jc w:val="both"/>
        <w:rPr>
          <w:rFonts w:ascii="Calibri" w:hAnsi="Calibri"/>
          <w:sz w:val="22"/>
          <w:szCs w:val="22"/>
        </w:rPr>
      </w:pPr>
      <w:r>
        <w:rPr>
          <w:rFonts w:ascii="Calibri" w:hAnsi="Calibri"/>
          <w:sz w:val="22"/>
          <w:szCs w:val="22"/>
        </w:rPr>
        <w:t xml:space="preserve">In the context of the </w:t>
      </w:r>
      <w:r w:rsidR="00122C02">
        <w:rPr>
          <w:rFonts w:ascii="Calibri" w:hAnsi="Calibri"/>
          <w:sz w:val="22"/>
          <w:szCs w:val="22"/>
        </w:rPr>
        <w:t>MPTF</w:t>
      </w:r>
      <w:r>
        <w:rPr>
          <w:rFonts w:ascii="Calibri" w:hAnsi="Calibri"/>
          <w:sz w:val="22"/>
          <w:szCs w:val="22"/>
        </w:rPr>
        <w:t>,</w:t>
      </w:r>
      <w:r w:rsidRPr="00FE0A79">
        <w:rPr>
          <w:rFonts w:ascii="Calibri" w:hAnsi="Calibri"/>
          <w:i/>
          <w:sz w:val="22"/>
          <w:szCs w:val="22"/>
        </w:rPr>
        <w:t xml:space="preserve"> </w:t>
      </w:r>
      <w:r w:rsidR="00213E5C">
        <w:rPr>
          <w:rFonts w:ascii="Calibri" w:hAnsi="Calibri"/>
          <w:sz w:val="22"/>
          <w:szCs w:val="22"/>
        </w:rPr>
        <w:t xml:space="preserve">the </w:t>
      </w:r>
      <w:r w:rsidR="00390544">
        <w:rPr>
          <w:rFonts w:ascii="Calibri" w:hAnsi="Calibri"/>
          <w:sz w:val="22"/>
          <w:szCs w:val="22"/>
        </w:rPr>
        <w:t xml:space="preserve">offices of </w:t>
      </w:r>
      <w:r w:rsidR="00390544" w:rsidRPr="0088689B">
        <w:rPr>
          <w:rFonts w:ascii="Calibri" w:hAnsi="Calibri"/>
          <w:sz w:val="22"/>
          <w:szCs w:val="22"/>
        </w:rPr>
        <w:t>the two participating UN organizations</w:t>
      </w:r>
      <w:r w:rsidR="00213E5C" w:rsidRPr="0088689B">
        <w:rPr>
          <w:rFonts w:ascii="Calibri" w:hAnsi="Calibri"/>
          <w:sz w:val="22"/>
          <w:szCs w:val="22"/>
        </w:rPr>
        <w:t xml:space="preserve"> </w:t>
      </w:r>
      <w:r w:rsidR="00213E5C" w:rsidRPr="00551106">
        <w:rPr>
          <w:rFonts w:ascii="Calibri" w:hAnsi="Calibri"/>
          <w:sz w:val="22"/>
          <w:szCs w:val="22"/>
        </w:rPr>
        <w:t>(</w:t>
      </w:r>
      <w:r w:rsidR="002B7756" w:rsidRPr="00551106">
        <w:rPr>
          <w:rFonts w:ascii="Calibri" w:hAnsi="Calibri"/>
          <w:sz w:val="22"/>
          <w:szCs w:val="22"/>
        </w:rPr>
        <w:t>UNDP and UNODC)</w:t>
      </w:r>
      <w:r w:rsidR="00213E5C" w:rsidRPr="00551106">
        <w:rPr>
          <w:rFonts w:ascii="Calibri" w:hAnsi="Calibri"/>
          <w:sz w:val="22"/>
          <w:szCs w:val="22"/>
        </w:rPr>
        <w:t xml:space="preserve"> </w:t>
      </w:r>
      <w:r w:rsidR="0088689B" w:rsidRPr="008156E7">
        <w:rPr>
          <w:rFonts w:ascii="Calibri" w:hAnsi="Calibri"/>
          <w:sz w:val="22"/>
          <w:szCs w:val="22"/>
        </w:rPr>
        <w:t xml:space="preserve">covering the Western Balkans region </w:t>
      </w:r>
      <w:r w:rsidR="00213E5C" w:rsidRPr="008156E7">
        <w:rPr>
          <w:rFonts w:ascii="Calibri" w:hAnsi="Calibri"/>
          <w:sz w:val="22"/>
          <w:szCs w:val="22"/>
        </w:rPr>
        <w:t xml:space="preserve">are eligible to receive funding, assuming full programmatic and financial accountability </w:t>
      </w:r>
      <w:r w:rsidR="00213E5C" w:rsidRPr="00C44E64">
        <w:rPr>
          <w:rFonts w:ascii="Calibri" w:hAnsi="Calibri"/>
          <w:sz w:val="22"/>
          <w:szCs w:val="22"/>
        </w:rPr>
        <w:t>for the funds disbursed to them.</w:t>
      </w:r>
      <w:r w:rsidR="0088689B" w:rsidRPr="00C44E64">
        <w:rPr>
          <w:rFonts w:ascii="Calibri" w:hAnsi="Calibri"/>
          <w:sz w:val="22"/>
          <w:szCs w:val="22"/>
        </w:rPr>
        <w:t xml:space="preserve"> </w:t>
      </w:r>
      <w:r w:rsidR="0088689B" w:rsidRPr="0088689B">
        <w:rPr>
          <w:rFonts w:ascii="Calibri" w:hAnsi="Calibri"/>
          <w:sz w:val="22"/>
          <w:szCs w:val="22"/>
        </w:rPr>
        <w:t>The 6 Western Balkans jurisdictions that are targeted by the MPTF include: Albania, Bosnia and Herzegovina, Kosovo</w:t>
      </w:r>
      <w:r w:rsidR="0088689B">
        <w:rPr>
          <w:rStyle w:val="FootnoteReference"/>
          <w:rFonts w:ascii="Calibri" w:hAnsi="Calibri"/>
          <w:sz w:val="22"/>
          <w:szCs w:val="22"/>
        </w:rPr>
        <w:footnoteReference w:id="1"/>
      </w:r>
      <w:r w:rsidR="0088689B" w:rsidRPr="0088689B">
        <w:rPr>
          <w:rFonts w:ascii="Calibri" w:hAnsi="Calibri"/>
          <w:sz w:val="22"/>
          <w:szCs w:val="22"/>
        </w:rPr>
        <w:t>, Montenegro, the Republic of North Macedonia and the Republic of Serbia.</w:t>
      </w:r>
    </w:p>
    <w:p w14:paraId="0E82A995" w14:textId="23BE5EB0" w:rsidR="0014251C" w:rsidRPr="00B75714" w:rsidRDefault="00213E5C" w:rsidP="006136BB">
      <w:pPr>
        <w:spacing w:line="240" w:lineRule="auto"/>
        <w:jc w:val="both"/>
        <w:rPr>
          <w:rFonts w:ascii="Calibri" w:hAnsi="Calibri"/>
          <w:sz w:val="22"/>
          <w:szCs w:val="22"/>
        </w:rPr>
      </w:pPr>
      <w:r>
        <w:rPr>
          <w:rFonts w:ascii="Calibri" w:hAnsi="Calibri"/>
          <w:sz w:val="22"/>
          <w:szCs w:val="22"/>
        </w:rPr>
        <w:t xml:space="preserve"> </w:t>
      </w:r>
      <w:r w:rsidR="002B7756">
        <w:rPr>
          <w:rFonts w:ascii="Calibri" w:hAnsi="Calibri"/>
          <w:sz w:val="22"/>
          <w:szCs w:val="22"/>
        </w:rPr>
        <w:t xml:space="preserve">The </w:t>
      </w:r>
      <w:r w:rsidR="0088689B">
        <w:rPr>
          <w:rFonts w:ascii="Calibri" w:hAnsi="Calibri"/>
          <w:sz w:val="22"/>
          <w:szCs w:val="22"/>
        </w:rPr>
        <w:t>offices of the participating UN organizations</w:t>
      </w:r>
      <w:r w:rsidR="002B7756">
        <w:rPr>
          <w:rFonts w:ascii="Calibri" w:hAnsi="Calibri"/>
          <w:sz w:val="22"/>
          <w:szCs w:val="22"/>
        </w:rPr>
        <w:t xml:space="preserve"> </w:t>
      </w:r>
      <w:r w:rsidR="0014251C" w:rsidRPr="00FE0A79">
        <w:rPr>
          <w:rFonts w:ascii="Calibri" w:hAnsi="Calibri"/>
          <w:sz w:val="22"/>
          <w:szCs w:val="22"/>
        </w:rPr>
        <w:t>are invited to submit project proposals by</w:t>
      </w:r>
      <w:r w:rsidR="002B7756">
        <w:rPr>
          <w:rFonts w:ascii="Calibri" w:hAnsi="Calibri"/>
          <w:sz w:val="22"/>
          <w:szCs w:val="22"/>
        </w:rPr>
        <w:t xml:space="preserve"> </w:t>
      </w:r>
      <w:r w:rsidR="00342ED4">
        <w:rPr>
          <w:rFonts w:ascii="Calibri" w:hAnsi="Calibri"/>
          <w:b/>
          <w:sz w:val="22"/>
          <w:szCs w:val="22"/>
        </w:rPr>
        <w:t>19</w:t>
      </w:r>
      <w:r w:rsidR="00342ED4" w:rsidRPr="002B7756">
        <w:rPr>
          <w:rFonts w:ascii="Calibri" w:hAnsi="Calibri"/>
          <w:b/>
          <w:sz w:val="22"/>
          <w:szCs w:val="22"/>
        </w:rPr>
        <w:t xml:space="preserve"> </w:t>
      </w:r>
      <w:r w:rsidR="002B7756" w:rsidRPr="002B7756">
        <w:rPr>
          <w:rFonts w:ascii="Calibri" w:hAnsi="Calibri"/>
          <w:b/>
          <w:sz w:val="22"/>
          <w:szCs w:val="22"/>
        </w:rPr>
        <w:t>September 2019</w:t>
      </w:r>
      <w:r w:rsidR="00900051">
        <w:rPr>
          <w:rFonts w:ascii="Calibri" w:hAnsi="Calibri"/>
          <w:sz w:val="22"/>
          <w:szCs w:val="22"/>
        </w:rPr>
        <w:t>.</w:t>
      </w:r>
      <w:r w:rsidR="0014251C" w:rsidRPr="00FE0A79">
        <w:rPr>
          <w:rFonts w:ascii="Calibri" w:hAnsi="Calibri"/>
          <w:sz w:val="22"/>
          <w:szCs w:val="22"/>
        </w:rPr>
        <w:t xml:space="preserve"> Project proposals</w:t>
      </w:r>
      <w:r w:rsidR="0014251C">
        <w:rPr>
          <w:rFonts w:ascii="Calibri" w:hAnsi="Calibri"/>
          <w:sz w:val="22"/>
          <w:szCs w:val="22"/>
        </w:rPr>
        <w:t xml:space="preserve"> should be submitted</w:t>
      </w:r>
      <w:r w:rsidR="008341FD">
        <w:rPr>
          <w:rFonts w:ascii="Calibri" w:hAnsi="Calibri"/>
          <w:sz w:val="22"/>
          <w:szCs w:val="22"/>
        </w:rPr>
        <w:t xml:space="preserve"> as per</w:t>
      </w:r>
      <w:r w:rsidR="0014251C">
        <w:rPr>
          <w:rFonts w:ascii="Calibri" w:hAnsi="Calibri"/>
          <w:sz w:val="22"/>
          <w:szCs w:val="22"/>
        </w:rPr>
        <w:t xml:space="preserve"> the template provided in Annex 1</w:t>
      </w:r>
      <w:r w:rsidR="00C01CDD">
        <w:rPr>
          <w:rFonts w:ascii="Calibri" w:hAnsi="Calibri"/>
          <w:sz w:val="22"/>
          <w:szCs w:val="22"/>
        </w:rPr>
        <w:t xml:space="preserve"> (Project proposal narrative template)</w:t>
      </w:r>
      <w:r w:rsidR="0014251C">
        <w:rPr>
          <w:rFonts w:ascii="Calibri" w:hAnsi="Calibri"/>
          <w:sz w:val="22"/>
          <w:szCs w:val="22"/>
        </w:rPr>
        <w:t xml:space="preserve"> and Annex 2</w:t>
      </w:r>
      <w:r w:rsidR="00C01CDD">
        <w:rPr>
          <w:rFonts w:ascii="Calibri" w:hAnsi="Calibri"/>
          <w:sz w:val="22"/>
          <w:szCs w:val="22"/>
        </w:rPr>
        <w:t xml:space="preserve"> (Project proposal budget template)</w:t>
      </w:r>
      <w:r w:rsidR="0014251C">
        <w:rPr>
          <w:rFonts w:ascii="Calibri" w:hAnsi="Calibri"/>
          <w:sz w:val="22"/>
          <w:szCs w:val="22"/>
        </w:rPr>
        <w:t xml:space="preserve"> and should respond to the </w:t>
      </w:r>
      <w:r w:rsidR="00140183">
        <w:rPr>
          <w:rFonts w:ascii="Calibri" w:hAnsi="Calibri"/>
          <w:sz w:val="22"/>
          <w:szCs w:val="22"/>
        </w:rPr>
        <w:t xml:space="preserve">eligibility and </w:t>
      </w:r>
      <w:r w:rsidR="0014251C">
        <w:rPr>
          <w:rFonts w:ascii="Calibri" w:hAnsi="Calibri"/>
          <w:sz w:val="22"/>
          <w:szCs w:val="22"/>
        </w:rPr>
        <w:t>evaluation criteria listed below.</w:t>
      </w:r>
      <w:r w:rsidR="00E847C1">
        <w:rPr>
          <w:rFonts w:ascii="Calibri" w:hAnsi="Calibri"/>
          <w:sz w:val="22"/>
          <w:szCs w:val="22"/>
        </w:rPr>
        <w:t xml:space="preserve"> The budgets must use the </w:t>
      </w:r>
      <w:r w:rsidR="00E847C1">
        <w:t xml:space="preserve">UNDG budget categories (as per the Annex 6). </w:t>
      </w:r>
    </w:p>
    <w:p w14:paraId="0E82A996" w14:textId="0040E577" w:rsidR="0014251C" w:rsidRDefault="0014251C" w:rsidP="006136BB">
      <w:pPr>
        <w:spacing w:line="240" w:lineRule="auto"/>
        <w:jc w:val="both"/>
        <w:rPr>
          <w:rFonts w:ascii="Calibri" w:hAnsi="Calibri"/>
          <w:sz w:val="22"/>
        </w:rPr>
      </w:pPr>
      <w:r>
        <w:rPr>
          <w:rFonts w:ascii="Calibri" w:hAnsi="Calibri"/>
          <w:sz w:val="22"/>
        </w:rPr>
        <w:t>Project proposals should be sent via e-mail to</w:t>
      </w:r>
      <w:r w:rsidR="00743F09">
        <w:rPr>
          <w:rFonts w:ascii="Calibri" w:hAnsi="Calibri"/>
          <w:sz w:val="22"/>
        </w:rPr>
        <w:t xml:space="preserve"> the following email addresses: </w:t>
      </w:r>
      <w:hyperlink r:id="rId9" w:history="1">
        <w:r w:rsidR="00743F09" w:rsidRPr="00405A56">
          <w:rPr>
            <w:rStyle w:val="Hyperlink"/>
            <w:rFonts w:ascii="Calibri" w:hAnsi="Calibri"/>
            <w:sz w:val="22"/>
          </w:rPr>
          <w:t>seesac@undp.org</w:t>
        </w:r>
      </w:hyperlink>
      <w:r w:rsidR="00444B49">
        <w:rPr>
          <w:rFonts w:ascii="Calibri" w:hAnsi="Calibri"/>
          <w:sz w:val="22"/>
        </w:rPr>
        <w:t xml:space="preserve">. </w:t>
      </w:r>
    </w:p>
    <w:p w14:paraId="0E82A997" w14:textId="77777777" w:rsidR="00F95E58" w:rsidRDefault="00991D60" w:rsidP="006136BB">
      <w:pPr>
        <w:pStyle w:val="Heading1"/>
      </w:pPr>
      <w:bookmarkStart w:id="4" w:name="_Toc15305473"/>
      <w:r>
        <w:t xml:space="preserve">Project </w:t>
      </w:r>
      <w:r w:rsidR="0014251C">
        <w:t>Selection</w:t>
      </w:r>
      <w:bookmarkEnd w:id="4"/>
    </w:p>
    <w:p w14:paraId="0E82A9D8" w14:textId="77777777" w:rsidR="00C07CA7" w:rsidRPr="00C07CA7" w:rsidRDefault="00791BA2" w:rsidP="006136BB">
      <w:pPr>
        <w:spacing w:line="240" w:lineRule="auto"/>
        <w:jc w:val="both"/>
        <w:rPr>
          <w:rFonts w:ascii="Calibri" w:hAnsi="Calibri"/>
          <w:sz w:val="22"/>
        </w:rPr>
      </w:pPr>
      <w:r>
        <w:rPr>
          <w:rFonts w:ascii="Calibri" w:hAnsi="Calibri"/>
          <w:sz w:val="22"/>
        </w:rPr>
        <w:t xml:space="preserve">The </w:t>
      </w:r>
      <w:r w:rsidR="00C07CA7">
        <w:rPr>
          <w:rFonts w:ascii="Calibri" w:hAnsi="Calibri"/>
          <w:sz w:val="22"/>
        </w:rPr>
        <w:t>MPTF Steering Committee</w:t>
      </w:r>
      <w:r>
        <w:rPr>
          <w:rFonts w:ascii="Calibri" w:hAnsi="Calibri"/>
          <w:sz w:val="22"/>
        </w:rPr>
        <w:t xml:space="preserve"> is responsible </w:t>
      </w:r>
      <w:r w:rsidR="008B28DE">
        <w:rPr>
          <w:rFonts w:ascii="Calibri" w:hAnsi="Calibri"/>
          <w:sz w:val="22"/>
        </w:rPr>
        <w:t>for</w:t>
      </w:r>
      <w:r>
        <w:rPr>
          <w:rFonts w:ascii="Calibri" w:hAnsi="Calibri"/>
          <w:sz w:val="22"/>
        </w:rPr>
        <w:t xml:space="preserve"> </w:t>
      </w:r>
      <w:r w:rsidR="00DF741A">
        <w:rPr>
          <w:rFonts w:ascii="Calibri" w:hAnsi="Calibri"/>
          <w:sz w:val="22"/>
        </w:rPr>
        <w:t xml:space="preserve">the </w:t>
      </w:r>
      <w:r w:rsidR="005B25E3">
        <w:rPr>
          <w:rFonts w:ascii="Calibri" w:hAnsi="Calibri"/>
          <w:sz w:val="22"/>
        </w:rPr>
        <w:t xml:space="preserve">approval </w:t>
      </w:r>
      <w:r w:rsidR="00DF741A">
        <w:rPr>
          <w:rFonts w:ascii="Calibri" w:hAnsi="Calibri"/>
          <w:sz w:val="22"/>
        </w:rPr>
        <w:t>of</w:t>
      </w:r>
      <w:r>
        <w:rPr>
          <w:rFonts w:ascii="Calibri" w:hAnsi="Calibri"/>
          <w:sz w:val="22"/>
        </w:rPr>
        <w:t xml:space="preserve"> the projects to be funded. The </w:t>
      </w:r>
      <w:r w:rsidR="00217931">
        <w:rPr>
          <w:rFonts w:ascii="Calibri" w:hAnsi="Calibri"/>
          <w:sz w:val="22"/>
        </w:rPr>
        <w:t xml:space="preserve">selection </w:t>
      </w:r>
      <w:r>
        <w:rPr>
          <w:rFonts w:ascii="Calibri" w:hAnsi="Calibri"/>
          <w:sz w:val="22"/>
        </w:rPr>
        <w:t>will be made based on the</w:t>
      </w:r>
      <w:r w:rsidR="003F2093">
        <w:rPr>
          <w:rFonts w:ascii="Calibri" w:hAnsi="Calibri"/>
          <w:sz w:val="22"/>
        </w:rPr>
        <w:t xml:space="preserve"> </w:t>
      </w:r>
      <w:r w:rsidR="005B25E3">
        <w:rPr>
          <w:rFonts w:ascii="Calibri" w:hAnsi="Calibri"/>
          <w:sz w:val="22"/>
        </w:rPr>
        <w:t xml:space="preserve">evaluation process </w:t>
      </w:r>
      <w:r w:rsidR="003909CA">
        <w:rPr>
          <w:rFonts w:ascii="Calibri" w:hAnsi="Calibri"/>
          <w:sz w:val="22"/>
        </w:rPr>
        <w:t>and recommendations</w:t>
      </w:r>
      <w:r>
        <w:rPr>
          <w:rFonts w:ascii="Calibri" w:hAnsi="Calibri"/>
          <w:sz w:val="22"/>
        </w:rPr>
        <w:t xml:space="preserve"> from </w:t>
      </w:r>
      <w:r w:rsidR="00664140">
        <w:rPr>
          <w:rFonts w:ascii="Calibri" w:hAnsi="Calibri"/>
          <w:sz w:val="22"/>
        </w:rPr>
        <w:t xml:space="preserve">the </w:t>
      </w:r>
      <w:r w:rsidR="00C07CA7">
        <w:rPr>
          <w:rFonts w:ascii="Calibri" w:hAnsi="Calibri"/>
          <w:sz w:val="22"/>
        </w:rPr>
        <w:t>MPTF Secretariat</w:t>
      </w:r>
      <w:r w:rsidR="00664140">
        <w:rPr>
          <w:rFonts w:ascii="Calibri" w:hAnsi="Calibri"/>
          <w:sz w:val="22"/>
        </w:rPr>
        <w:t xml:space="preserve">, in line with the provisions of the </w:t>
      </w:r>
      <w:r w:rsidR="00C07CA7">
        <w:rPr>
          <w:rFonts w:ascii="Calibri" w:hAnsi="Calibri"/>
          <w:sz w:val="22"/>
        </w:rPr>
        <w:t>MPTF Operational Manual</w:t>
      </w:r>
      <w:r>
        <w:rPr>
          <w:rFonts w:ascii="Calibri" w:hAnsi="Calibri"/>
          <w:sz w:val="22"/>
        </w:rPr>
        <w:t xml:space="preserve">. The </w:t>
      </w:r>
      <w:r w:rsidR="00C07CA7">
        <w:rPr>
          <w:rFonts w:ascii="Calibri" w:hAnsi="Calibri"/>
          <w:sz w:val="22"/>
        </w:rPr>
        <w:t xml:space="preserve">MPTF Steering Committee </w:t>
      </w:r>
      <w:r>
        <w:rPr>
          <w:rFonts w:ascii="Calibri" w:hAnsi="Calibri"/>
          <w:sz w:val="22"/>
        </w:rPr>
        <w:t xml:space="preserve">is </w:t>
      </w:r>
      <w:r w:rsidR="00C07CA7" w:rsidRPr="00C07CA7">
        <w:rPr>
          <w:rFonts w:ascii="Calibri" w:hAnsi="Calibri"/>
          <w:sz w:val="22"/>
        </w:rPr>
        <w:t xml:space="preserve">chaired by the UNDP Istanbul Regional Hub Manager and consists of: </w:t>
      </w:r>
    </w:p>
    <w:p w14:paraId="0E82A9D9" w14:textId="77777777" w:rsidR="00C07CA7" w:rsidRPr="00C07CA7" w:rsidRDefault="00C07CA7" w:rsidP="006136BB">
      <w:pPr>
        <w:pStyle w:val="ListParagraph"/>
        <w:numPr>
          <w:ilvl w:val="0"/>
          <w:numId w:val="34"/>
        </w:numPr>
        <w:spacing w:after="0" w:line="240" w:lineRule="auto"/>
        <w:ind w:left="630"/>
        <w:jc w:val="both"/>
        <w:rPr>
          <w:rFonts w:ascii="Calibri" w:hAnsi="Calibri"/>
          <w:sz w:val="22"/>
        </w:rPr>
      </w:pPr>
      <w:r w:rsidRPr="00C07CA7">
        <w:rPr>
          <w:rFonts w:ascii="Calibri" w:hAnsi="Calibri"/>
          <w:sz w:val="22"/>
        </w:rPr>
        <w:t>Representatives of all Participating UN Organizations;</w:t>
      </w:r>
    </w:p>
    <w:p w14:paraId="0E82A9DA" w14:textId="77777777" w:rsidR="00C07CA7" w:rsidRPr="00C07CA7" w:rsidRDefault="00C07CA7" w:rsidP="006136BB">
      <w:pPr>
        <w:pStyle w:val="ListParagraph"/>
        <w:numPr>
          <w:ilvl w:val="0"/>
          <w:numId w:val="34"/>
        </w:numPr>
        <w:spacing w:after="0" w:line="240" w:lineRule="auto"/>
        <w:ind w:left="630"/>
        <w:jc w:val="both"/>
        <w:rPr>
          <w:rFonts w:ascii="Calibri" w:hAnsi="Calibri"/>
          <w:sz w:val="22"/>
        </w:rPr>
      </w:pPr>
      <w:r w:rsidRPr="00C07CA7">
        <w:rPr>
          <w:rFonts w:ascii="Calibri" w:hAnsi="Calibri"/>
          <w:sz w:val="22"/>
        </w:rPr>
        <w:t>France and Germany (as co-chairs of the donor coordination initiative on illicit firearms trafficking in the Western Balkans);</w:t>
      </w:r>
    </w:p>
    <w:p w14:paraId="0E82A9DB" w14:textId="77777777" w:rsidR="00C07CA7" w:rsidRPr="00C07CA7" w:rsidRDefault="00C07CA7" w:rsidP="006136BB">
      <w:pPr>
        <w:pStyle w:val="ListParagraph"/>
        <w:numPr>
          <w:ilvl w:val="0"/>
          <w:numId w:val="34"/>
        </w:numPr>
        <w:spacing w:after="0" w:line="240" w:lineRule="auto"/>
        <w:ind w:left="630"/>
        <w:jc w:val="both"/>
        <w:rPr>
          <w:rFonts w:ascii="Calibri" w:hAnsi="Calibri"/>
          <w:sz w:val="22"/>
        </w:rPr>
      </w:pPr>
      <w:r w:rsidRPr="00C07CA7">
        <w:rPr>
          <w:rFonts w:ascii="Calibri" w:hAnsi="Calibri"/>
          <w:sz w:val="22"/>
        </w:rPr>
        <w:t>Other top 3 donors to the Fund (i.e. the donors who have amounted the biggest contributions to the MPTF at the moment a SC meeting is convened)</w:t>
      </w:r>
    </w:p>
    <w:p w14:paraId="0E82A9DC" w14:textId="77777777" w:rsidR="00C07CA7" w:rsidRPr="00C07CA7" w:rsidRDefault="00C07CA7" w:rsidP="006136BB">
      <w:pPr>
        <w:pStyle w:val="ListParagraph"/>
        <w:numPr>
          <w:ilvl w:val="0"/>
          <w:numId w:val="34"/>
        </w:numPr>
        <w:spacing w:after="0" w:line="240" w:lineRule="auto"/>
        <w:ind w:left="630"/>
        <w:jc w:val="both"/>
        <w:rPr>
          <w:rFonts w:ascii="Calibri" w:hAnsi="Calibri"/>
          <w:sz w:val="22"/>
        </w:rPr>
      </w:pPr>
      <w:r w:rsidRPr="00C07CA7">
        <w:rPr>
          <w:rFonts w:ascii="Calibri" w:hAnsi="Calibri"/>
          <w:sz w:val="22"/>
        </w:rPr>
        <w:t>The MPTFO as the AA and ex officio member without the right to vote.</w:t>
      </w:r>
    </w:p>
    <w:p w14:paraId="0E82A9DD" w14:textId="77777777" w:rsidR="00C07CA7" w:rsidRDefault="00C07CA7" w:rsidP="006136BB">
      <w:pPr>
        <w:pStyle w:val="ListParagraph"/>
        <w:numPr>
          <w:ilvl w:val="0"/>
          <w:numId w:val="34"/>
        </w:numPr>
        <w:spacing w:after="0" w:line="240" w:lineRule="auto"/>
        <w:ind w:left="630"/>
        <w:jc w:val="both"/>
        <w:rPr>
          <w:rFonts w:ascii="Calibri" w:hAnsi="Calibri"/>
          <w:sz w:val="22"/>
        </w:rPr>
      </w:pPr>
      <w:r w:rsidRPr="00C07CA7">
        <w:rPr>
          <w:rFonts w:ascii="Calibri" w:hAnsi="Calibri"/>
          <w:sz w:val="22"/>
        </w:rPr>
        <w:lastRenderedPageBreak/>
        <w:t>All other donors (except of the top 3 who enjoy full membership rights) are granted the observer status (with no voting right) for increased transparency, access to information and provision of inputs.</w:t>
      </w:r>
    </w:p>
    <w:p w14:paraId="0E82A9DE" w14:textId="77777777" w:rsidR="00791BA2" w:rsidRPr="00C07CA7" w:rsidRDefault="00C07CA7" w:rsidP="006136BB">
      <w:pPr>
        <w:pStyle w:val="ListParagraph"/>
        <w:numPr>
          <w:ilvl w:val="0"/>
          <w:numId w:val="34"/>
        </w:numPr>
        <w:spacing w:after="0" w:line="240" w:lineRule="auto"/>
        <w:ind w:left="630"/>
        <w:jc w:val="both"/>
        <w:rPr>
          <w:rFonts w:ascii="Calibri" w:hAnsi="Calibri"/>
          <w:sz w:val="22"/>
        </w:rPr>
      </w:pPr>
      <w:r w:rsidRPr="00C07CA7">
        <w:rPr>
          <w:rFonts w:ascii="Calibri" w:hAnsi="Calibri"/>
          <w:sz w:val="22"/>
        </w:rPr>
        <w:t>EU is granted the ex-officio membership with full voting rights, considering the political and financial support provided for the Roadmap implementation</w:t>
      </w:r>
      <w:r w:rsidR="00791BA2" w:rsidRPr="00C07CA7">
        <w:rPr>
          <w:rFonts w:ascii="Calibri" w:hAnsi="Calibri"/>
          <w:sz w:val="22"/>
        </w:rPr>
        <w:t xml:space="preserve">. </w:t>
      </w:r>
    </w:p>
    <w:p w14:paraId="0E82A9DF" w14:textId="77777777" w:rsidR="00E229E6" w:rsidRPr="00E15DB9" w:rsidRDefault="00E229E6" w:rsidP="006136BB">
      <w:pPr>
        <w:spacing w:line="240" w:lineRule="auto"/>
        <w:jc w:val="both"/>
        <w:rPr>
          <w:rFonts w:ascii="Calibri" w:hAnsi="Calibri"/>
          <w:sz w:val="22"/>
        </w:rPr>
      </w:pPr>
    </w:p>
    <w:p w14:paraId="50E729B4" w14:textId="7C29E2EF" w:rsidR="00E15DB9" w:rsidRDefault="00C07CA7" w:rsidP="006136BB">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eastAsiaTheme="minorHAnsi" w:cstheme="minorBidi"/>
          <w:color w:val="404040" w:themeColor="text1" w:themeTint="BF"/>
          <w:szCs w:val="18"/>
          <w:bdr w:val="none" w:sz="0" w:space="0" w:color="auto"/>
          <w:lang w:eastAsia="ja-JP"/>
        </w:rPr>
      </w:pPr>
      <w:r w:rsidRPr="00E15DB9">
        <w:rPr>
          <w:rFonts w:eastAsiaTheme="minorHAnsi" w:cstheme="minorBidi"/>
          <w:color w:val="404040" w:themeColor="text1" w:themeTint="BF"/>
          <w:szCs w:val="18"/>
          <w:bdr w:val="none" w:sz="0" w:space="0" w:color="auto"/>
          <w:lang w:eastAsia="ja-JP"/>
        </w:rPr>
        <w:t>SEESAC function</w:t>
      </w:r>
      <w:r w:rsidR="00D15554" w:rsidRPr="00E15DB9">
        <w:rPr>
          <w:rFonts w:eastAsiaTheme="minorHAnsi" w:cstheme="minorBidi"/>
          <w:color w:val="404040" w:themeColor="text1" w:themeTint="BF"/>
          <w:szCs w:val="18"/>
          <w:bdr w:val="none" w:sz="0" w:space="0" w:color="auto"/>
          <w:lang w:eastAsia="ja-JP"/>
        </w:rPr>
        <w:t>s</w:t>
      </w:r>
      <w:r w:rsidRPr="00E15DB9">
        <w:rPr>
          <w:rFonts w:eastAsiaTheme="minorHAnsi" w:cstheme="minorBidi"/>
          <w:color w:val="404040" w:themeColor="text1" w:themeTint="BF"/>
          <w:szCs w:val="18"/>
          <w:bdr w:val="none" w:sz="0" w:space="0" w:color="auto"/>
          <w:lang w:eastAsia="ja-JP"/>
        </w:rPr>
        <w:t xml:space="preserve"> as the Secretariat of the Fund, responsible for the programmatic coordination and monitoring the activities of the Fund, providing technical and management support to the Fund. </w:t>
      </w:r>
    </w:p>
    <w:p w14:paraId="71AFF267" w14:textId="77777777" w:rsidR="00982D8A" w:rsidRDefault="00982D8A" w:rsidP="006136BB">
      <w:pPr>
        <w:spacing w:after="0" w:line="240" w:lineRule="auto"/>
        <w:jc w:val="both"/>
        <w:rPr>
          <w:rFonts w:ascii="Calibri" w:hAnsi="Calibri"/>
          <w:sz w:val="22"/>
          <w:lang w:val="en-GB"/>
        </w:rPr>
      </w:pPr>
    </w:p>
    <w:p w14:paraId="04C97824" w14:textId="41A63A4A" w:rsidR="00982D8A" w:rsidRDefault="000A2398" w:rsidP="00982D8A">
      <w:pPr>
        <w:pStyle w:val="Heading2"/>
      </w:pPr>
      <w:bookmarkStart w:id="5" w:name="_Toc15305474"/>
      <w:r>
        <w:t xml:space="preserve">Assessment </w:t>
      </w:r>
      <w:r w:rsidR="00982D8A">
        <w:t>procedure</w:t>
      </w:r>
      <w:bookmarkEnd w:id="5"/>
      <w:r w:rsidR="00982D8A">
        <w:t xml:space="preserve"> </w:t>
      </w:r>
    </w:p>
    <w:p w14:paraId="4D30D8D4" w14:textId="77777777" w:rsidR="00E15DB9" w:rsidRPr="00E15DB9" w:rsidRDefault="00E15DB9" w:rsidP="00E15DB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eastAsiaTheme="minorHAnsi" w:cstheme="minorBidi"/>
          <w:color w:val="404040" w:themeColor="text1" w:themeTint="BF"/>
          <w:szCs w:val="18"/>
          <w:bdr w:val="none" w:sz="0" w:space="0" w:color="auto"/>
          <w:lang w:eastAsia="ja-JP"/>
        </w:rPr>
      </w:pPr>
      <w:r w:rsidRPr="00E15DB9">
        <w:rPr>
          <w:rFonts w:eastAsiaTheme="minorHAnsi" w:cstheme="minorBidi"/>
          <w:color w:val="404040" w:themeColor="text1" w:themeTint="BF"/>
          <w:szCs w:val="18"/>
          <w:bdr w:val="none" w:sz="0" w:space="0" w:color="auto"/>
          <w:lang w:eastAsia="ja-JP"/>
        </w:rPr>
        <w:t>The project proposals assessment is conducted through two rounds of review:</w:t>
      </w:r>
    </w:p>
    <w:p w14:paraId="65FB0864" w14:textId="77777777" w:rsidR="00E15DB9" w:rsidRPr="00E229E6" w:rsidRDefault="00E15DB9" w:rsidP="00E15DB9">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eastAsiaTheme="minorHAnsi" w:cstheme="minorBidi"/>
          <w:color w:val="404040" w:themeColor="text1" w:themeTint="BF"/>
          <w:szCs w:val="18"/>
          <w:bdr w:val="none" w:sz="0" w:space="0" w:color="auto"/>
          <w:lang w:eastAsia="ja-JP"/>
        </w:rPr>
      </w:pPr>
    </w:p>
    <w:p w14:paraId="6A7DDA30" w14:textId="77777777" w:rsidR="00E15DB9" w:rsidRPr="00E229E6" w:rsidRDefault="00E15DB9" w:rsidP="00E15DB9">
      <w:pPr>
        <w:pStyle w:val="ListParagraph"/>
        <w:numPr>
          <w:ilvl w:val="0"/>
          <w:numId w:val="36"/>
        </w:numPr>
        <w:spacing w:after="0" w:line="240" w:lineRule="auto"/>
        <w:jc w:val="both"/>
        <w:rPr>
          <w:rFonts w:ascii="Calibri" w:hAnsi="Calibri"/>
          <w:sz w:val="22"/>
          <w:u w:val="single"/>
        </w:rPr>
      </w:pPr>
      <w:r w:rsidRPr="00E229E6">
        <w:rPr>
          <w:rFonts w:ascii="Calibri" w:hAnsi="Calibri"/>
          <w:sz w:val="22"/>
          <w:u w:val="single"/>
        </w:rPr>
        <w:t>Secretariat Review</w:t>
      </w:r>
    </w:p>
    <w:p w14:paraId="792858EC" w14:textId="77777777" w:rsidR="00E15DB9" w:rsidRPr="00E229E6" w:rsidRDefault="00E15DB9" w:rsidP="00E15DB9">
      <w:pPr>
        <w:pStyle w:val="Body"/>
        <w:suppressAutoHyphens/>
        <w:spacing w:after="0" w:line="240" w:lineRule="auto"/>
        <w:jc w:val="both"/>
        <w:rPr>
          <w:rFonts w:eastAsiaTheme="minorHAnsi" w:cstheme="minorBidi"/>
          <w:color w:val="404040" w:themeColor="text1" w:themeTint="BF"/>
          <w:szCs w:val="18"/>
          <w:bdr w:val="none" w:sz="0" w:space="0" w:color="auto"/>
          <w:lang w:eastAsia="ja-JP"/>
        </w:rPr>
      </w:pPr>
    </w:p>
    <w:p w14:paraId="1BE84EBF" w14:textId="7A5D86EF" w:rsidR="00E15DB9" w:rsidRPr="00E229E6" w:rsidRDefault="00E15DB9" w:rsidP="00E15DB9">
      <w:pPr>
        <w:pStyle w:val="Body"/>
        <w:suppressAutoHyphens/>
        <w:spacing w:after="0" w:line="240" w:lineRule="auto"/>
        <w:jc w:val="both"/>
        <w:rPr>
          <w:rFonts w:eastAsiaTheme="minorHAnsi" w:cstheme="minorBidi"/>
          <w:color w:val="404040" w:themeColor="text1" w:themeTint="BF"/>
          <w:szCs w:val="18"/>
          <w:bdr w:val="none" w:sz="0" w:space="0" w:color="auto"/>
          <w:lang w:eastAsia="ja-JP"/>
        </w:rPr>
      </w:pPr>
      <w:r w:rsidRPr="00E229E6">
        <w:rPr>
          <w:rFonts w:eastAsiaTheme="minorHAnsi" w:cstheme="minorBidi"/>
          <w:color w:val="404040" w:themeColor="text1" w:themeTint="BF"/>
          <w:szCs w:val="18"/>
          <w:bdr w:val="none" w:sz="0" w:space="0" w:color="auto"/>
          <w:lang w:eastAsia="ja-JP"/>
        </w:rPr>
        <w:t xml:space="preserve">The Secretariat receives the proposals submitted by the </w:t>
      </w:r>
      <w:r w:rsidR="00C44E64">
        <w:rPr>
          <w:rFonts w:eastAsiaTheme="minorHAnsi" w:cstheme="minorBidi"/>
          <w:color w:val="404040" w:themeColor="text1" w:themeTint="BF"/>
          <w:szCs w:val="18"/>
          <w:bdr w:val="none" w:sz="0" w:space="0" w:color="auto"/>
          <w:lang w:eastAsia="ja-JP"/>
        </w:rPr>
        <w:t>offices of participating UN organizations</w:t>
      </w:r>
      <w:r w:rsidRPr="00E229E6">
        <w:rPr>
          <w:rFonts w:eastAsiaTheme="minorHAnsi" w:cstheme="minorBidi"/>
          <w:color w:val="404040" w:themeColor="text1" w:themeTint="BF"/>
          <w:szCs w:val="18"/>
          <w:bdr w:val="none" w:sz="0" w:space="0" w:color="auto"/>
          <w:lang w:eastAsia="ja-JP"/>
        </w:rPr>
        <w:t xml:space="preserve"> and conducts an administrative review (to ensure observance of the eligibility criteria and administrative completeness of the submission, i.e. all supporting documents and required information is included in the package), as well as technical review </w:t>
      </w:r>
      <w:r>
        <w:rPr>
          <w:rFonts w:eastAsiaTheme="minorHAnsi" w:cstheme="minorBidi"/>
          <w:color w:val="404040" w:themeColor="text1" w:themeTint="BF"/>
          <w:szCs w:val="18"/>
          <w:bdr w:val="none" w:sz="0" w:space="0" w:color="auto"/>
          <w:lang w:eastAsia="ja-JP"/>
        </w:rPr>
        <w:t>(the</w:t>
      </w:r>
      <w:r w:rsidRPr="00E229E6">
        <w:rPr>
          <w:rFonts w:eastAsiaTheme="minorHAnsi" w:cstheme="minorBidi"/>
          <w:color w:val="404040" w:themeColor="text1" w:themeTint="BF"/>
          <w:szCs w:val="18"/>
          <w:bdr w:val="none" w:sz="0" w:space="0" w:color="auto"/>
          <w:lang w:eastAsia="ja-JP"/>
        </w:rPr>
        <w:t xml:space="preserve"> programmatic quality control of the proposal to ensure relevance and alignment to the Roadmap priorities, RBM quality standards, etc.). </w:t>
      </w:r>
    </w:p>
    <w:p w14:paraId="3A21B65A" w14:textId="77777777" w:rsidR="00E15DB9" w:rsidRPr="00C06EC0" w:rsidRDefault="00E15DB9" w:rsidP="00E15DB9">
      <w:pPr>
        <w:pStyle w:val="Body"/>
        <w:suppressAutoHyphens/>
        <w:spacing w:after="0" w:line="240" w:lineRule="auto"/>
        <w:jc w:val="both"/>
        <w:rPr>
          <w:rFonts w:asciiTheme="minorHAnsi" w:hAnsiTheme="minorHAnsi"/>
          <w:bCs/>
          <w:color w:val="00000A"/>
          <w:lang w:val="en-GB"/>
        </w:rPr>
      </w:pPr>
    </w:p>
    <w:p w14:paraId="3A5D60AE" w14:textId="5B339714" w:rsidR="00E15DB9" w:rsidRPr="00E229E6" w:rsidRDefault="00E15DB9" w:rsidP="00E15DB9">
      <w:pPr>
        <w:pStyle w:val="Body"/>
        <w:suppressAutoHyphens/>
        <w:spacing w:after="0" w:line="240" w:lineRule="auto"/>
        <w:jc w:val="both"/>
        <w:rPr>
          <w:rFonts w:eastAsiaTheme="minorHAnsi" w:cstheme="minorBidi"/>
          <w:color w:val="404040" w:themeColor="text1" w:themeTint="BF"/>
          <w:szCs w:val="18"/>
          <w:bdr w:val="none" w:sz="0" w:space="0" w:color="auto"/>
          <w:lang w:eastAsia="ja-JP"/>
        </w:rPr>
      </w:pPr>
      <w:r w:rsidRPr="00E229E6">
        <w:rPr>
          <w:rFonts w:eastAsiaTheme="minorHAnsi" w:cstheme="minorBidi"/>
          <w:color w:val="404040" w:themeColor="text1" w:themeTint="BF"/>
          <w:szCs w:val="18"/>
          <w:bdr w:val="none" w:sz="0" w:space="0" w:color="auto"/>
          <w:lang w:eastAsia="ja-JP"/>
        </w:rPr>
        <w:t xml:space="preserve">The review panel </w:t>
      </w:r>
      <w:r w:rsidR="00444B49">
        <w:rPr>
          <w:rFonts w:eastAsiaTheme="minorHAnsi" w:cstheme="minorBidi"/>
          <w:color w:val="404040" w:themeColor="text1" w:themeTint="BF"/>
          <w:szCs w:val="18"/>
          <w:bdr w:val="none" w:sz="0" w:space="0" w:color="auto"/>
          <w:lang w:eastAsia="ja-JP"/>
        </w:rPr>
        <w:t xml:space="preserve">will be assigned by the MPTF Secretariat and </w:t>
      </w:r>
      <w:r w:rsidRPr="00E229E6">
        <w:rPr>
          <w:rFonts w:eastAsiaTheme="minorHAnsi" w:cstheme="minorBidi"/>
          <w:color w:val="404040" w:themeColor="text1" w:themeTint="BF"/>
          <w:szCs w:val="18"/>
          <w:bdr w:val="none" w:sz="0" w:space="0" w:color="auto"/>
          <w:lang w:eastAsia="ja-JP"/>
        </w:rPr>
        <w:t xml:space="preserve">will include minimum 3 technical experts, 1 Chair and 1 Secretary, all part of the SEESAC team. Additionally, external experts may also be invited </w:t>
      </w:r>
      <w:r w:rsidR="00444B49">
        <w:rPr>
          <w:rFonts w:eastAsiaTheme="minorHAnsi" w:cstheme="minorBidi"/>
          <w:color w:val="404040" w:themeColor="text1" w:themeTint="BF"/>
          <w:szCs w:val="18"/>
          <w:bdr w:val="none" w:sz="0" w:space="0" w:color="auto"/>
          <w:lang w:eastAsia="ja-JP"/>
        </w:rPr>
        <w:t xml:space="preserve">by the MPTF secretariat </w:t>
      </w:r>
      <w:r w:rsidRPr="00E229E6">
        <w:rPr>
          <w:rFonts w:eastAsiaTheme="minorHAnsi" w:cstheme="minorBidi"/>
          <w:color w:val="404040" w:themeColor="text1" w:themeTint="BF"/>
          <w:szCs w:val="18"/>
          <w:bdr w:val="none" w:sz="0" w:space="0" w:color="auto"/>
          <w:lang w:eastAsia="ja-JP"/>
        </w:rPr>
        <w:t xml:space="preserve">for provision of technical advice. Its composition will be determined </w:t>
      </w:r>
      <w:r>
        <w:rPr>
          <w:rFonts w:eastAsiaTheme="minorHAnsi" w:cstheme="minorBidi"/>
          <w:color w:val="404040" w:themeColor="text1" w:themeTint="BF"/>
          <w:szCs w:val="18"/>
          <w:bdr w:val="none" w:sz="0" w:space="0" w:color="auto"/>
          <w:lang w:eastAsia="ja-JP"/>
        </w:rPr>
        <w:t xml:space="preserve">by the Secretariat </w:t>
      </w:r>
      <w:r w:rsidRPr="00E229E6">
        <w:rPr>
          <w:rFonts w:eastAsiaTheme="minorHAnsi" w:cstheme="minorBidi"/>
          <w:color w:val="404040" w:themeColor="text1" w:themeTint="BF"/>
          <w:szCs w:val="18"/>
          <w:bdr w:val="none" w:sz="0" w:space="0" w:color="auto"/>
          <w:lang w:eastAsia="ja-JP"/>
        </w:rPr>
        <w:t xml:space="preserve">no later than five (5) days before the meeting. To avoid conflicts of interest, all members of the review panel </w:t>
      </w:r>
      <w:r>
        <w:rPr>
          <w:rFonts w:eastAsiaTheme="minorHAnsi" w:cstheme="minorBidi"/>
          <w:color w:val="404040" w:themeColor="text1" w:themeTint="BF"/>
          <w:szCs w:val="18"/>
          <w:bdr w:val="none" w:sz="0" w:space="0" w:color="auto"/>
          <w:lang w:eastAsia="ja-JP"/>
        </w:rPr>
        <w:t>will</w:t>
      </w:r>
      <w:r w:rsidRPr="00E229E6">
        <w:rPr>
          <w:rFonts w:eastAsiaTheme="minorHAnsi" w:cstheme="minorBidi"/>
          <w:color w:val="404040" w:themeColor="text1" w:themeTint="BF"/>
          <w:szCs w:val="18"/>
          <w:bdr w:val="none" w:sz="0" w:space="0" w:color="auto"/>
          <w:lang w:eastAsia="ja-JP"/>
        </w:rPr>
        <w:t xml:space="preserve"> declare any conflict of interest that may exist.</w:t>
      </w:r>
    </w:p>
    <w:p w14:paraId="2B52BFB7" w14:textId="77777777" w:rsidR="00E15DB9" w:rsidRPr="003B2FB5" w:rsidRDefault="00E15DB9" w:rsidP="00E15DB9">
      <w:pPr>
        <w:autoSpaceDE w:val="0"/>
        <w:autoSpaceDN w:val="0"/>
        <w:adjustRightInd w:val="0"/>
        <w:spacing w:after="0" w:line="240" w:lineRule="auto"/>
        <w:jc w:val="both"/>
        <w:rPr>
          <w:rFonts w:ascii="Calibri" w:hAnsi="Calibri"/>
          <w:sz w:val="22"/>
        </w:rPr>
      </w:pPr>
    </w:p>
    <w:p w14:paraId="2091946B" w14:textId="77777777" w:rsidR="00E15DB9" w:rsidRPr="003B2FB5" w:rsidRDefault="00E15DB9" w:rsidP="00E15DB9">
      <w:pPr>
        <w:autoSpaceDE w:val="0"/>
        <w:autoSpaceDN w:val="0"/>
        <w:adjustRightInd w:val="0"/>
        <w:spacing w:after="0" w:line="240" w:lineRule="auto"/>
        <w:jc w:val="both"/>
        <w:rPr>
          <w:rFonts w:ascii="Calibri" w:hAnsi="Calibri"/>
          <w:sz w:val="22"/>
        </w:rPr>
      </w:pPr>
      <w:r w:rsidRPr="003B2FB5">
        <w:rPr>
          <w:rFonts w:ascii="Calibri" w:hAnsi="Calibri"/>
          <w:sz w:val="22"/>
        </w:rPr>
        <w:t>Once the composition of the review panel is established, the Secretariat will conven</w:t>
      </w:r>
      <w:r>
        <w:rPr>
          <w:rFonts w:ascii="Calibri" w:hAnsi="Calibri"/>
          <w:sz w:val="22"/>
        </w:rPr>
        <w:t>e</w:t>
      </w:r>
      <w:r w:rsidRPr="003B2FB5">
        <w:rPr>
          <w:rFonts w:ascii="Calibri" w:hAnsi="Calibri"/>
          <w:sz w:val="22"/>
        </w:rPr>
        <w:t xml:space="preserve"> the meeting. The review panel will receive the project proposals and related annexes for analysis and will make recommendations to be submitted to the Steering Committee (through the Secretariat). </w:t>
      </w:r>
    </w:p>
    <w:p w14:paraId="0BF7848C" w14:textId="77777777" w:rsidR="00E15DB9" w:rsidRPr="00E229E6" w:rsidRDefault="00E15DB9" w:rsidP="00E15DB9">
      <w:pPr>
        <w:pStyle w:val="Body"/>
        <w:suppressAutoHyphens/>
        <w:spacing w:after="0" w:line="240" w:lineRule="auto"/>
        <w:jc w:val="both"/>
        <w:rPr>
          <w:rFonts w:eastAsiaTheme="minorHAnsi" w:cstheme="minorBidi"/>
          <w:color w:val="404040" w:themeColor="text1" w:themeTint="BF"/>
          <w:szCs w:val="18"/>
          <w:bdr w:val="none" w:sz="0" w:space="0" w:color="auto"/>
          <w:lang w:eastAsia="ja-JP"/>
        </w:rPr>
      </w:pPr>
    </w:p>
    <w:p w14:paraId="31A4A0C3" w14:textId="77777777" w:rsidR="00E15DB9" w:rsidRPr="00E229E6" w:rsidRDefault="00E15DB9" w:rsidP="00E15DB9">
      <w:pPr>
        <w:pStyle w:val="Body"/>
        <w:suppressAutoHyphens/>
        <w:spacing w:after="0" w:line="240" w:lineRule="auto"/>
        <w:jc w:val="both"/>
        <w:rPr>
          <w:rFonts w:eastAsiaTheme="minorHAnsi" w:cstheme="minorBidi"/>
          <w:color w:val="404040" w:themeColor="text1" w:themeTint="BF"/>
          <w:szCs w:val="18"/>
          <w:u w:val="single"/>
          <w:bdr w:val="none" w:sz="0" w:space="0" w:color="auto"/>
          <w:lang w:eastAsia="ja-JP"/>
        </w:rPr>
      </w:pPr>
    </w:p>
    <w:p w14:paraId="13B831A2" w14:textId="77777777" w:rsidR="00E15DB9" w:rsidRPr="00E229E6" w:rsidRDefault="00E15DB9" w:rsidP="00E15DB9">
      <w:pPr>
        <w:pStyle w:val="ListParagraph"/>
        <w:numPr>
          <w:ilvl w:val="0"/>
          <w:numId w:val="36"/>
        </w:numPr>
        <w:spacing w:after="0" w:line="240" w:lineRule="auto"/>
        <w:jc w:val="both"/>
        <w:rPr>
          <w:rFonts w:ascii="Calibri" w:hAnsi="Calibri"/>
          <w:sz w:val="22"/>
          <w:u w:val="single"/>
        </w:rPr>
      </w:pPr>
      <w:r w:rsidRPr="00E229E6">
        <w:rPr>
          <w:rFonts w:ascii="Calibri" w:hAnsi="Calibri"/>
          <w:sz w:val="22"/>
          <w:u w:val="single"/>
        </w:rPr>
        <w:t>Steering Committee Review</w:t>
      </w:r>
    </w:p>
    <w:p w14:paraId="1C54D0B2" w14:textId="77777777" w:rsidR="00E15DB9" w:rsidRPr="00E229E6" w:rsidRDefault="00E15DB9" w:rsidP="00E15DB9">
      <w:pPr>
        <w:pStyle w:val="Body"/>
        <w:suppressAutoHyphens/>
        <w:spacing w:after="0" w:line="240" w:lineRule="auto"/>
        <w:jc w:val="both"/>
        <w:rPr>
          <w:rFonts w:eastAsiaTheme="minorHAnsi" w:cstheme="minorBidi"/>
          <w:color w:val="404040" w:themeColor="text1" w:themeTint="BF"/>
          <w:szCs w:val="18"/>
          <w:bdr w:val="none" w:sz="0" w:space="0" w:color="auto"/>
          <w:lang w:eastAsia="ja-JP"/>
        </w:rPr>
      </w:pPr>
    </w:p>
    <w:p w14:paraId="7CD70305" w14:textId="77777777" w:rsidR="00E15DB9" w:rsidRPr="00E229E6" w:rsidRDefault="00E15DB9" w:rsidP="00BE6823">
      <w:pPr>
        <w:pStyle w:val="Body"/>
        <w:suppressAutoHyphens/>
        <w:spacing w:after="0" w:line="240" w:lineRule="auto"/>
        <w:jc w:val="both"/>
        <w:rPr>
          <w:rFonts w:eastAsiaTheme="minorHAnsi" w:cstheme="minorBidi"/>
          <w:color w:val="404040" w:themeColor="text1" w:themeTint="BF"/>
          <w:szCs w:val="18"/>
          <w:bdr w:val="none" w:sz="0" w:space="0" w:color="auto"/>
          <w:lang w:eastAsia="ja-JP"/>
        </w:rPr>
      </w:pPr>
      <w:r w:rsidRPr="00E229E6">
        <w:rPr>
          <w:rFonts w:eastAsiaTheme="minorHAnsi" w:cstheme="minorBidi"/>
          <w:color w:val="404040" w:themeColor="text1" w:themeTint="BF"/>
          <w:szCs w:val="18"/>
          <w:bdr w:val="none" w:sz="0" w:space="0" w:color="auto"/>
          <w:lang w:eastAsia="ja-JP"/>
        </w:rPr>
        <w:t xml:space="preserve">The Steering Committee will review the project proposals that were </w:t>
      </w:r>
      <w:r>
        <w:rPr>
          <w:rFonts w:eastAsiaTheme="minorHAnsi" w:cstheme="minorBidi"/>
          <w:color w:val="404040" w:themeColor="text1" w:themeTint="BF"/>
          <w:szCs w:val="18"/>
          <w:bdr w:val="none" w:sz="0" w:space="0" w:color="auto"/>
          <w:lang w:eastAsia="ja-JP"/>
        </w:rPr>
        <w:t>“</w:t>
      </w:r>
      <w:r w:rsidRPr="00E229E6">
        <w:rPr>
          <w:rFonts w:eastAsiaTheme="minorHAnsi" w:cstheme="minorBidi"/>
          <w:color w:val="404040" w:themeColor="text1" w:themeTint="BF"/>
          <w:szCs w:val="18"/>
          <w:bdr w:val="none" w:sz="0" w:space="0" w:color="auto"/>
          <w:lang w:eastAsia="ja-JP"/>
        </w:rPr>
        <w:t>recommended</w:t>
      </w:r>
      <w:r>
        <w:rPr>
          <w:rFonts w:eastAsiaTheme="minorHAnsi" w:cstheme="minorBidi"/>
          <w:color w:val="404040" w:themeColor="text1" w:themeTint="BF"/>
          <w:szCs w:val="18"/>
          <w:bdr w:val="none" w:sz="0" w:space="0" w:color="auto"/>
          <w:lang w:eastAsia="ja-JP"/>
        </w:rPr>
        <w:t>”, “not recommended” as well as those recommended as “rejected”</w:t>
      </w:r>
      <w:r w:rsidRPr="00E229E6">
        <w:rPr>
          <w:rFonts w:eastAsiaTheme="minorHAnsi" w:cstheme="minorBidi"/>
          <w:color w:val="404040" w:themeColor="text1" w:themeTint="BF"/>
          <w:szCs w:val="18"/>
          <w:bdr w:val="none" w:sz="0" w:space="0" w:color="auto"/>
          <w:lang w:eastAsia="ja-JP"/>
        </w:rPr>
        <w:t xml:space="preserve"> by the Secretariat</w:t>
      </w:r>
      <w:r>
        <w:rPr>
          <w:rFonts w:eastAsiaTheme="minorHAnsi" w:cstheme="minorBidi"/>
          <w:color w:val="404040" w:themeColor="text1" w:themeTint="BF"/>
          <w:szCs w:val="18"/>
          <w:bdr w:val="none" w:sz="0" w:space="0" w:color="auto"/>
          <w:lang w:eastAsia="ja-JP"/>
        </w:rPr>
        <w:t>,</w:t>
      </w:r>
      <w:r w:rsidRPr="00E229E6">
        <w:rPr>
          <w:rFonts w:eastAsiaTheme="minorHAnsi" w:cstheme="minorBidi"/>
          <w:color w:val="404040" w:themeColor="text1" w:themeTint="BF"/>
          <w:szCs w:val="18"/>
          <w:bdr w:val="none" w:sz="0" w:space="0" w:color="auto"/>
          <w:lang w:eastAsia="ja-JP"/>
        </w:rPr>
        <w:t xml:space="preserve"> and will have the final decision in allocating the funds. At the end of the review, the SC, with the support of the Secretariat, will prepare a note summarizing the technical review process and the project evaluation based on the review criteria with: </w:t>
      </w:r>
    </w:p>
    <w:p w14:paraId="5F9BC629" w14:textId="77777777" w:rsidR="00E15DB9" w:rsidRPr="00E229E6" w:rsidRDefault="00E15DB9" w:rsidP="00BE6823">
      <w:pPr>
        <w:pStyle w:val="Body"/>
        <w:numPr>
          <w:ilvl w:val="1"/>
          <w:numId w:val="37"/>
        </w:numPr>
        <w:suppressAutoHyphens/>
        <w:spacing w:after="0" w:line="240" w:lineRule="auto"/>
        <w:ind w:left="720"/>
        <w:jc w:val="both"/>
        <w:rPr>
          <w:rFonts w:eastAsiaTheme="minorHAnsi" w:cstheme="minorBidi"/>
          <w:color w:val="404040" w:themeColor="text1" w:themeTint="BF"/>
          <w:szCs w:val="18"/>
          <w:bdr w:val="none" w:sz="0" w:space="0" w:color="auto"/>
          <w:lang w:eastAsia="ja-JP"/>
        </w:rPr>
      </w:pPr>
      <w:r w:rsidRPr="00E229E6">
        <w:rPr>
          <w:rFonts w:eastAsiaTheme="minorHAnsi" w:cstheme="minorBidi"/>
          <w:color w:val="404040" w:themeColor="text1" w:themeTint="BF"/>
          <w:szCs w:val="18"/>
          <w:bdr w:val="none" w:sz="0" w:space="0" w:color="auto"/>
          <w:lang w:eastAsia="ja-JP"/>
        </w:rPr>
        <w:t xml:space="preserve">recommendation for approval; or </w:t>
      </w:r>
    </w:p>
    <w:p w14:paraId="760DE9BC" w14:textId="77777777" w:rsidR="00E15DB9" w:rsidRPr="00E229E6" w:rsidRDefault="00E15DB9" w:rsidP="00BE6823">
      <w:pPr>
        <w:pStyle w:val="Body"/>
        <w:numPr>
          <w:ilvl w:val="1"/>
          <w:numId w:val="37"/>
        </w:numPr>
        <w:suppressAutoHyphens/>
        <w:spacing w:after="0" w:line="240" w:lineRule="auto"/>
        <w:ind w:left="720"/>
        <w:jc w:val="both"/>
        <w:rPr>
          <w:rFonts w:eastAsiaTheme="minorHAnsi" w:cstheme="minorBidi"/>
          <w:color w:val="404040" w:themeColor="text1" w:themeTint="BF"/>
          <w:szCs w:val="18"/>
          <w:bdr w:val="none" w:sz="0" w:space="0" w:color="auto"/>
          <w:lang w:eastAsia="ja-JP"/>
        </w:rPr>
      </w:pPr>
      <w:proofErr w:type="gramStart"/>
      <w:r w:rsidRPr="00E229E6">
        <w:rPr>
          <w:rFonts w:eastAsiaTheme="minorHAnsi" w:cstheme="minorBidi"/>
          <w:color w:val="404040" w:themeColor="text1" w:themeTint="BF"/>
          <w:szCs w:val="18"/>
          <w:bdr w:val="none" w:sz="0" w:space="0" w:color="auto"/>
          <w:lang w:eastAsia="ja-JP"/>
        </w:rPr>
        <w:t>recommendation</w:t>
      </w:r>
      <w:proofErr w:type="gramEnd"/>
      <w:r w:rsidRPr="00E229E6">
        <w:rPr>
          <w:rFonts w:eastAsiaTheme="minorHAnsi" w:cstheme="minorBidi"/>
          <w:color w:val="404040" w:themeColor="text1" w:themeTint="BF"/>
          <w:szCs w:val="18"/>
          <w:bdr w:val="none" w:sz="0" w:space="0" w:color="auto"/>
          <w:lang w:eastAsia="ja-JP"/>
        </w:rPr>
        <w:t xml:space="preserve"> for rejection. </w:t>
      </w:r>
    </w:p>
    <w:p w14:paraId="0ECCBF25" w14:textId="77777777" w:rsidR="00E15DB9" w:rsidRPr="00E229E6" w:rsidRDefault="00E15DB9" w:rsidP="00BE6823">
      <w:pPr>
        <w:pStyle w:val="Body"/>
        <w:suppressAutoHyphens/>
        <w:spacing w:after="0" w:line="240" w:lineRule="auto"/>
        <w:ind w:left="720"/>
        <w:jc w:val="both"/>
        <w:rPr>
          <w:rFonts w:eastAsiaTheme="minorHAnsi" w:cstheme="minorBidi"/>
          <w:color w:val="404040" w:themeColor="text1" w:themeTint="BF"/>
          <w:szCs w:val="18"/>
          <w:bdr w:val="none" w:sz="0" w:space="0" w:color="auto"/>
          <w:lang w:eastAsia="ja-JP"/>
        </w:rPr>
      </w:pPr>
    </w:p>
    <w:p w14:paraId="292D62B7" w14:textId="5220D8D4" w:rsidR="00E15DB9" w:rsidRPr="00E15DB9" w:rsidRDefault="00E15DB9" w:rsidP="00BE6823">
      <w:pPr>
        <w:spacing w:after="0" w:line="240" w:lineRule="auto"/>
        <w:jc w:val="both"/>
      </w:pPr>
      <w:r w:rsidRPr="00A053D4">
        <w:rPr>
          <w:rFonts w:ascii="Calibri" w:hAnsi="Calibri"/>
          <w:sz w:val="22"/>
          <w:lang w:val="en-GB"/>
        </w:rPr>
        <w:t xml:space="preserve">The </w:t>
      </w:r>
      <w:r>
        <w:rPr>
          <w:rFonts w:ascii="Calibri" w:hAnsi="Calibri"/>
          <w:sz w:val="22"/>
          <w:lang w:val="en-GB"/>
        </w:rPr>
        <w:t>Steering Committee,</w:t>
      </w:r>
      <w:r w:rsidRPr="00A053D4">
        <w:rPr>
          <w:rFonts w:ascii="Calibri" w:hAnsi="Calibri"/>
          <w:sz w:val="22"/>
          <w:lang w:val="en-GB"/>
        </w:rPr>
        <w:t xml:space="preserve"> </w:t>
      </w:r>
      <w:r>
        <w:rPr>
          <w:rFonts w:ascii="Calibri" w:hAnsi="Calibri"/>
          <w:sz w:val="22"/>
          <w:lang w:val="en-GB"/>
        </w:rPr>
        <w:t xml:space="preserve">upon review, </w:t>
      </w:r>
      <w:r w:rsidRPr="00A053D4">
        <w:rPr>
          <w:rFonts w:ascii="Calibri" w:hAnsi="Calibri"/>
          <w:sz w:val="22"/>
          <w:lang w:val="en-GB"/>
        </w:rPr>
        <w:t xml:space="preserve">may suggest </w:t>
      </w:r>
      <w:r>
        <w:rPr>
          <w:rFonts w:ascii="Calibri" w:hAnsi="Calibri"/>
          <w:sz w:val="22"/>
          <w:lang w:val="en-GB"/>
        </w:rPr>
        <w:t xml:space="preserve">further adjustments </w:t>
      </w:r>
      <w:r w:rsidRPr="00A053D4">
        <w:rPr>
          <w:rFonts w:ascii="Calibri" w:hAnsi="Calibri"/>
          <w:sz w:val="22"/>
          <w:lang w:val="en-GB"/>
        </w:rPr>
        <w:t xml:space="preserve">to the </w:t>
      </w:r>
      <w:r>
        <w:rPr>
          <w:rFonts w:ascii="Calibri" w:hAnsi="Calibri"/>
          <w:sz w:val="22"/>
          <w:lang w:val="en-GB"/>
        </w:rPr>
        <w:t xml:space="preserve">selected </w:t>
      </w:r>
      <w:r w:rsidRPr="00A053D4">
        <w:rPr>
          <w:rFonts w:ascii="Calibri" w:hAnsi="Calibri"/>
          <w:sz w:val="22"/>
          <w:lang w:val="en-GB"/>
        </w:rPr>
        <w:t>project proposals</w:t>
      </w:r>
      <w:r>
        <w:rPr>
          <w:rFonts w:ascii="Calibri" w:hAnsi="Calibri"/>
          <w:sz w:val="22"/>
          <w:lang w:val="en-GB"/>
        </w:rPr>
        <w:t>. They may include</w:t>
      </w:r>
      <w:r w:rsidRPr="00A053D4">
        <w:rPr>
          <w:rFonts w:ascii="Calibri" w:hAnsi="Calibri"/>
          <w:sz w:val="22"/>
          <w:lang w:val="en-GB"/>
        </w:rPr>
        <w:t xml:space="preserve"> </w:t>
      </w:r>
      <w:r>
        <w:rPr>
          <w:rFonts w:ascii="Calibri" w:hAnsi="Calibri"/>
          <w:sz w:val="22"/>
          <w:lang w:val="en-GB"/>
        </w:rPr>
        <w:t>budgetary adjustments, corrections, clarifications, etc</w:t>
      </w:r>
      <w:r w:rsidRPr="00A053D4">
        <w:rPr>
          <w:rFonts w:ascii="Calibri" w:hAnsi="Calibri"/>
          <w:sz w:val="22"/>
          <w:lang w:val="en-GB"/>
        </w:rPr>
        <w:t xml:space="preserve">. In this </w:t>
      </w:r>
      <w:r>
        <w:rPr>
          <w:rFonts w:ascii="Calibri" w:hAnsi="Calibri"/>
          <w:sz w:val="22"/>
          <w:lang w:val="en-GB"/>
        </w:rPr>
        <w:t>regard</w:t>
      </w:r>
      <w:r w:rsidRPr="00A053D4">
        <w:rPr>
          <w:rFonts w:ascii="Calibri" w:hAnsi="Calibri"/>
          <w:sz w:val="22"/>
          <w:lang w:val="en-GB"/>
        </w:rPr>
        <w:t xml:space="preserve">, the respective </w:t>
      </w:r>
      <w:r w:rsidR="00C44E64">
        <w:rPr>
          <w:rFonts w:ascii="Calibri" w:hAnsi="Calibri"/>
          <w:sz w:val="22"/>
          <w:lang w:val="en-GB"/>
        </w:rPr>
        <w:t>offices of participating UN organizations</w:t>
      </w:r>
      <w:r w:rsidRPr="00A053D4">
        <w:rPr>
          <w:rFonts w:ascii="Calibri" w:hAnsi="Calibri"/>
          <w:sz w:val="22"/>
          <w:lang w:val="en-GB"/>
        </w:rPr>
        <w:t xml:space="preserve"> will be </w:t>
      </w:r>
      <w:r>
        <w:rPr>
          <w:rFonts w:ascii="Calibri" w:hAnsi="Calibri"/>
          <w:sz w:val="22"/>
          <w:lang w:val="en-GB"/>
        </w:rPr>
        <w:t xml:space="preserve">requested </w:t>
      </w:r>
      <w:r w:rsidRPr="00A053D4">
        <w:rPr>
          <w:rFonts w:ascii="Calibri" w:hAnsi="Calibri"/>
          <w:sz w:val="22"/>
          <w:lang w:val="en-GB"/>
        </w:rPr>
        <w:t xml:space="preserve">to </w:t>
      </w:r>
      <w:r>
        <w:rPr>
          <w:rFonts w:ascii="Calibri" w:hAnsi="Calibri"/>
          <w:sz w:val="22"/>
          <w:lang w:val="en-GB"/>
        </w:rPr>
        <w:t xml:space="preserve">update </w:t>
      </w:r>
      <w:r w:rsidRPr="00A053D4">
        <w:rPr>
          <w:rFonts w:ascii="Calibri" w:hAnsi="Calibri"/>
          <w:sz w:val="22"/>
          <w:lang w:val="en-GB"/>
        </w:rPr>
        <w:t xml:space="preserve">and resubmit the project proposal. </w:t>
      </w:r>
      <w:r w:rsidRPr="00A053D4">
        <w:rPr>
          <w:rFonts w:ascii="Calibri" w:hAnsi="Calibri"/>
          <w:sz w:val="22"/>
          <w:lang w:val="en-GB"/>
        </w:rPr>
        <w:lastRenderedPageBreak/>
        <w:t xml:space="preserve">Should the adjustments be accepted by the </w:t>
      </w:r>
      <w:r>
        <w:rPr>
          <w:rFonts w:ascii="Calibri" w:hAnsi="Calibri"/>
          <w:sz w:val="22"/>
          <w:lang w:val="en-GB"/>
        </w:rPr>
        <w:t>Steering Committee</w:t>
      </w:r>
      <w:r w:rsidRPr="00A053D4">
        <w:rPr>
          <w:rFonts w:ascii="Calibri" w:hAnsi="Calibri"/>
          <w:sz w:val="22"/>
          <w:lang w:val="en-GB"/>
        </w:rPr>
        <w:t xml:space="preserve">, the project proposal will be </w:t>
      </w:r>
      <w:r>
        <w:rPr>
          <w:rFonts w:ascii="Calibri" w:hAnsi="Calibri"/>
          <w:sz w:val="22"/>
          <w:lang w:val="en-GB"/>
        </w:rPr>
        <w:t xml:space="preserve">approved </w:t>
      </w:r>
      <w:r w:rsidRPr="00A053D4">
        <w:rPr>
          <w:rFonts w:ascii="Calibri" w:hAnsi="Calibri"/>
          <w:sz w:val="22"/>
          <w:lang w:val="en-GB"/>
        </w:rPr>
        <w:t xml:space="preserve">for </w:t>
      </w:r>
      <w:proofErr w:type="gramStart"/>
      <w:r w:rsidRPr="00A053D4">
        <w:rPr>
          <w:rFonts w:ascii="Calibri" w:hAnsi="Calibri"/>
          <w:sz w:val="22"/>
          <w:lang w:val="en-GB"/>
        </w:rPr>
        <w:t>funding.</w:t>
      </w:r>
      <w:proofErr w:type="gramEnd"/>
    </w:p>
    <w:p w14:paraId="40129D86" w14:textId="4AF6BADC" w:rsidR="00982D8A" w:rsidRDefault="00982D8A" w:rsidP="00BE6823">
      <w:pPr>
        <w:spacing w:after="0" w:line="240" w:lineRule="auto"/>
        <w:jc w:val="both"/>
        <w:rPr>
          <w:rFonts w:ascii="Calibri" w:hAnsi="Calibri"/>
          <w:sz w:val="22"/>
          <w:lang w:val="en-GB"/>
        </w:rPr>
      </w:pPr>
      <w:r>
        <w:rPr>
          <w:rFonts w:ascii="Calibri" w:hAnsi="Calibri"/>
          <w:sz w:val="22"/>
        </w:rPr>
        <w:t xml:space="preserve">The </w:t>
      </w:r>
      <w:r w:rsidR="000A2398">
        <w:rPr>
          <w:rFonts w:ascii="Calibri" w:hAnsi="Calibri"/>
          <w:sz w:val="22"/>
        </w:rPr>
        <w:t xml:space="preserve">assessment </w:t>
      </w:r>
      <w:r>
        <w:rPr>
          <w:rFonts w:ascii="Calibri" w:hAnsi="Calibri"/>
          <w:sz w:val="22"/>
        </w:rPr>
        <w:t xml:space="preserve">of the project proposals will be conducted by the MPTF Secretariat </w:t>
      </w:r>
      <w:r>
        <w:rPr>
          <w:rFonts w:ascii="Calibri" w:hAnsi="Calibri"/>
          <w:sz w:val="22"/>
          <w:lang w:val="en-GB"/>
        </w:rPr>
        <w:t>in two stages:</w:t>
      </w:r>
    </w:p>
    <w:p w14:paraId="2531EA1C" w14:textId="77777777" w:rsidR="00982D8A" w:rsidRDefault="00982D8A" w:rsidP="00BE6823">
      <w:pPr>
        <w:pStyle w:val="ListParagraph"/>
        <w:numPr>
          <w:ilvl w:val="0"/>
          <w:numId w:val="25"/>
        </w:numPr>
        <w:spacing w:after="0" w:line="240" w:lineRule="auto"/>
        <w:jc w:val="both"/>
        <w:rPr>
          <w:rFonts w:ascii="Calibri" w:hAnsi="Calibri"/>
          <w:sz w:val="22"/>
          <w:lang w:val="en-GB"/>
        </w:rPr>
      </w:pPr>
      <w:r>
        <w:rPr>
          <w:rFonts w:ascii="Calibri" w:hAnsi="Calibri"/>
          <w:sz w:val="22"/>
          <w:lang w:val="en-GB"/>
        </w:rPr>
        <w:t xml:space="preserve">Stage 1: The project proposals will be screened against the first two eligibility criteria below. Only those project proposals that contribute to the achievement of one or more Roadmap goals and which have identified a concrete challenge in line with the SALW control priorities defined in the SALW Strategy/Roadmap Action Plan of the targeted jurisdiction/s will be included in the second stage of the evaluation process. </w:t>
      </w:r>
    </w:p>
    <w:p w14:paraId="06EEF224" w14:textId="77777777" w:rsidR="00982D8A" w:rsidRDefault="00982D8A" w:rsidP="00982D8A">
      <w:pPr>
        <w:pStyle w:val="ListParagraph"/>
        <w:numPr>
          <w:ilvl w:val="0"/>
          <w:numId w:val="25"/>
        </w:numPr>
        <w:spacing w:line="240" w:lineRule="auto"/>
        <w:jc w:val="both"/>
        <w:rPr>
          <w:rFonts w:ascii="Calibri" w:hAnsi="Calibri"/>
          <w:sz w:val="22"/>
          <w:lang w:val="en-GB"/>
        </w:rPr>
      </w:pPr>
      <w:r>
        <w:rPr>
          <w:rFonts w:ascii="Calibri" w:hAnsi="Calibri"/>
          <w:sz w:val="22"/>
          <w:lang w:val="en-GB"/>
        </w:rPr>
        <w:t xml:space="preserve">Stage 2: The project proposals which have passed the first stage will be evaluated against the technical criteria listed in the table below. The project proposals receiving the highest scoring will be recommended for funding to the MPTF Steering Committee, within the limits of the budget availability. </w:t>
      </w:r>
    </w:p>
    <w:p w14:paraId="17CC0AE0" w14:textId="766B7298" w:rsidR="00982D8A" w:rsidRDefault="000A2398" w:rsidP="00982D8A">
      <w:pPr>
        <w:pStyle w:val="Heading4"/>
        <w:spacing w:line="240" w:lineRule="auto"/>
      </w:pPr>
      <w:r>
        <w:t xml:space="preserve">Assessment </w:t>
      </w:r>
      <w:r w:rsidR="00982D8A">
        <w:t>criteria and scoring</w:t>
      </w:r>
    </w:p>
    <w:tbl>
      <w:tblPr>
        <w:tblStyle w:val="ProjectScopeTable"/>
        <w:tblW w:w="0" w:type="auto"/>
        <w:tblLook w:val="04A0" w:firstRow="1" w:lastRow="0" w:firstColumn="1" w:lastColumn="0" w:noHBand="0" w:noVBand="1"/>
      </w:tblPr>
      <w:tblGrid>
        <w:gridCol w:w="7151"/>
        <w:gridCol w:w="2199"/>
      </w:tblGrid>
      <w:tr w:rsidR="00982D8A" w14:paraId="215F4E3B" w14:textId="77777777" w:rsidTr="0079494B">
        <w:trPr>
          <w:cnfStyle w:val="100000000000" w:firstRow="1" w:lastRow="0" w:firstColumn="0" w:lastColumn="0" w:oddVBand="0" w:evenVBand="0" w:oddHBand="0" w:evenHBand="0" w:firstRowFirstColumn="0" w:firstRowLastColumn="0" w:lastRowFirstColumn="0" w:lastRowLastColumn="0"/>
        </w:trPr>
        <w:tc>
          <w:tcPr>
            <w:tcW w:w="9350" w:type="dxa"/>
            <w:gridSpan w:val="2"/>
          </w:tcPr>
          <w:p w14:paraId="09C9E4E8" w14:textId="77777777" w:rsidR="00982D8A" w:rsidRDefault="00982D8A" w:rsidP="0079494B">
            <w:r>
              <w:t>Stage 1 - Eligibility criteria</w:t>
            </w:r>
          </w:p>
        </w:tc>
      </w:tr>
      <w:tr w:rsidR="00982D8A" w14:paraId="65F59D14" w14:textId="77777777" w:rsidTr="0079494B">
        <w:tc>
          <w:tcPr>
            <w:tcW w:w="7151" w:type="dxa"/>
          </w:tcPr>
          <w:p w14:paraId="6048FEE1" w14:textId="77777777" w:rsidR="00982D8A" w:rsidRDefault="00982D8A" w:rsidP="0079494B">
            <w:pPr>
              <w:numPr>
                <w:ilvl w:val="0"/>
                <w:numId w:val="16"/>
              </w:numPr>
              <w:spacing w:after="0"/>
            </w:pPr>
            <w:r w:rsidRPr="00F95E58">
              <w:rPr>
                <w:rFonts w:ascii="Calibri" w:hAnsi="Calibri"/>
                <w:sz w:val="22"/>
              </w:rPr>
              <w:t>The project contributes to the achievement of one or more of the Roadmap goals;</w:t>
            </w:r>
          </w:p>
        </w:tc>
        <w:tc>
          <w:tcPr>
            <w:tcW w:w="2199" w:type="dxa"/>
          </w:tcPr>
          <w:p w14:paraId="6B66E895" w14:textId="77777777" w:rsidR="00982D8A" w:rsidRDefault="00982D8A" w:rsidP="0079494B">
            <w:pPr>
              <w:jc w:val="center"/>
            </w:pPr>
            <w:r>
              <w:t>Yes/No</w:t>
            </w:r>
          </w:p>
        </w:tc>
      </w:tr>
      <w:tr w:rsidR="00982D8A" w14:paraId="1B6C3D2E" w14:textId="77777777" w:rsidTr="0079494B">
        <w:tc>
          <w:tcPr>
            <w:tcW w:w="7151" w:type="dxa"/>
          </w:tcPr>
          <w:p w14:paraId="1A97F956" w14:textId="77777777" w:rsidR="00982D8A" w:rsidRDefault="00982D8A" w:rsidP="0079494B">
            <w:pPr>
              <w:numPr>
                <w:ilvl w:val="0"/>
                <w:numId w:val="16"/>
              </w:numPr>
              <w:spacing w:after="0"/>
            </w:pPr>
            <w:r w:rsidRPr="00F95E58">
              <w:rPr>
                <w:rFonts w:ascii="Calibri" w:hAnsi="Calibri"/>
                <w:sz w:val="22"/>
              </w:rPr>
              <w:t>The challenge</w:t>
            </w:r>
            <w:r>
              <w:rPr>
                <w:rFonts w:ascii="Calibri" w:hAnsi="Calibri"/>
                <w:sz w:val="22"/>
              </w:rPr>
              <w:t xml:space="preserve"> identified</w:t>
            </w:r>
            <w:r w:rsidRPr="00F95E58">
              <w:rPr>
                <w:rFonts w:ascii="Calibri" w:hAnsi="Calibri"/>
                <w:sz w:val="22"/>
              </w:rPr>
              <w:t xml:space="preserve"> is</w:t>
            </w:r>
            <w:r>
              <w:rPr>
                <w:rFonts w:ascii="Calibri" w:hAnsi="Calibri"/>
                <w:sz w:val="22"/>
              </w:rPr>
              <w:t xml:space="preserve"> clearly articulated and fully</w:t>
            </w:r>
            <w:r w:rsidRPr="00F95E58">
              <w:rPr>
                <w:rFonts w:ascii="Calibri" w:hAnsi="Calibri"/>
                <w:sz w:val="22"/>
              </w:rPr>
              <w:t xml:space="preserve"> in line with the SALW control priorities </w:t>
            </w:r>
            <w:r>
              <w:rPr>
                <w:rFonts w:ascii="Calibri" w:hAnsi="Calibri"/>
                <w:sz w:val="22"/>
                <w:lang w:val="en-GB"/>
              </w:rPr>
              <w:t xml:space="preserve">defined in the SALW Strategy/Roadmap Action Plan </w:t>
            </w:r>
            <w:r w:rsidRPr="00F95E58">
              <w:rPr>
                <w:rFonts w:ascii="Calibri" w:hAnsi="Calibri"/>
                <w:sz w:val="22"/>
              </w:rPr>
              <w:t>of the</w:t>
            </w:r>
            <w:r>
              <w:rPr>
                <w:rFonts w:ascii="Calibri" w:hAnsi="Calibri"/>
                <w:sz w:val="22"/>
              </w:rPr>
              <w:t xml:space="preserve"> beneficiary/</w:t>
            </w:r>
            <w:proofErr w:type="spellStart"/>
            <w:r>
              <w:rPr>
                <w:rFonts w:ascii="Calibri" w:hAnsi="Calibri"/>
                <w:sz w:val="22"/>
              </w:rPr>
              <w:t>ies</w:t>
            </w:r>
            <w:proofErr w:type="spellEnd"/>
            <w:r w:rsidRPr="00F95E58">
              <w:rPr>
                <w:rFonts w:ascii="Calibri" w:hAnsi="Calibri"/>
                <w:sz w:val="22"/>
              </w:rPr>
              <w:t xml:space="preserve"> </w:t>
            </w:r>
            <w:r>
              <w:rPr>
                <w:rFonts w:ascii="Calibri" w:hAnsi="Calibri"/>
                <w:sz w:val="22"/>
              </w:rPr>
              <w:t>and has been developed in close cooperation with the beneficiary/</w:t>
            </w:r>
            <w:proofErr w:type="spellStart"/>
            <w:r>
              <w:rPr>
                <w:rFonts w:ascii="Calibri" w:hAnsi="Calibri"/>
                <w:sz w:val="22"/>
              </w:rPr>
              <w:t>ies</w:t>
            </w:r>
            <w:proofErr w:type="spellEnd"/>
            <w:r w:rsidRPr="00F95E58">
              <w:rPr>
                <w:rFonts w:ascii="Calibri" w:hAnsi="Calibri"/>
                <w:sz w:val="22"/>
              </w:rPr>
              <w:t>;</w:t>
            </w:r>
          </w:p>
        </w:tc>
        <w:tc>
          <w:tcPr>
            <w:tcW w:w="2199" w:type="dxa"/>
          </w:tcPr>
          <w:p w14:paraId="53450F63" w14:textId="77777777" w:rsidR="00982D8A" w:rsidRDefault="00982D8A" w:rsidP="0079494B">
            <w:pPr>
              <w:jc w:val="center"/>
            </w:pPr>
            <w:r>
              <w:t>Yes/No</w:t>
            </w:r>
          </w:p>
        </w:tc>
      </w:tr>
      <w:tr w:rsidR="00982D8A" w14:paraId="3B3320FF" w14:textId="77777777" w:rsidTr="0079494B">
        <w:tc>
          <w:tcPr>
            <w:tcW w:w="7151" w:type="dxa"/>
            <w:shd w:val="clear" w:color="auto" w:fill="D7E7F0" w:themeFill="accent1" w:themeFillTint="33"/>
            <w:vAlign w:val="center"/>
          </w:tcPr>
          <w:p w14:paraId="2273DCFD" w14:textId="77777777" w:rsidR="00982D8A" w:rsidRDefault="00982D8A" w:rsidP="0079494B">
            <w:r>
              <w:rPr>
                <w:b/>
              </w:rPr>
              <w:t xml:space="preserve">Stage 2 - </w:t>
            </w:r>
            <w:r w:rsidRPr="0077589C">
              <w:rPr>
                <w:b/>
              </w:rPr>
              <w:t>Technical criteria</w:t>
            </w:r>
          </w:p>
        </w:tc>
        <w:tc>
          <w:tcPr>
            <w:tcW w:w="2199" w:type="dxa"/>
            <w:shd w:val="clear" w:color="auto" w:fill="D7E7F0" w:themeFill="accent1" w:themeFillTint="33"/>
          </w:tcPr>
          <w:p w14:paraId="51F19021" w14:textId="77777777" w:rsidR="00982D8A" w:rsidRDefault="00982D8A" w:rsidP="0079494B">
            <w:r>
              <w:t>Max. points obtainable</w:t>
            </w:r>
          </w:p>
        </w:tc>
      </w:tr>
      <w:tr w:rsidR="00982D8A" w14:paraId="2F3804BC" w14:textId="77777777" w:rsidTr="0079494B">
        <w:tc>
          <w:tcPr>
            <w:tcW w:w="7151" w:type="dxa"/>
          </w:tcPr>
          <w:p w14:paraId="3385BCC4" w14:textId="77777777" w:rsidR="00982D8A" w:rsidRPr="00D04512" w:rsidRDefault="00982D8A" w:rsidP="0079494B">
            <w:pPr>
              <w:numPr>
                <w:ilvl w:val="0"/>
                <w:numId w:val="30"/>
              </w:numPr>
              <w:spacing w:after="0"/>
            </w:pPr>
            <w:r w:rsidRPr="00D04512">
              <w:rPr>
                <w:rFonts w:ascii="Calibri" w:hAnsi="Calibri"/>
                <w:sz w:val="22"/>
              </w:rPr>
              <w:t xml:space="preserve">The project demonstrates </w:t>
            </w:r>
            <w:r>
              <w:rPr>
                <w:rFonts w:ascii="Calibri" w:hAnsi="Calibri"/>
                <w:sz w:val="22"/>
              </w:rPr>
              <w:t xml:space="preserve">clear contribution and linkage to </w:t>
            </w:r>
            <w:r w:rsidRPr="00D04512">
              <w:rPr>
                <w:rFonts w:ascii="Calibri" w:hAnsi="Calibri"/>
                <w:sz w:val="22"/>
              </w:rPr>
              <w:t>other relevant initiatives in the field of SALW control</w:t>
            </w:r>
            <w:r>
              <w:rPr>
                <w:rFonts w:ascii="Calibri" w:hAnsi="Calibri"/>
                <w:sz w:val="22"/>
              </w:rPr>
              <w:t xml:space="preserve">, </w:t>
            </w:r>
            <w:r w:rsidRPr="009D0F29">
              <w:rPr>
                <w:rFonts w:ascii="Calibri" w:hAnsi="Calibri"/>
                <w:sz w:val="22"/>
              </w:rPr>
              <w:t>as well as contribution to the implementation of</w:t>
            </w:r>
            <w:r>
              <w:rPr>
                <w:rFonts w:ascii="Calibri" w:hAnsi="Calibri"/>
                <w:sz w:val="22"/>
              </w:rPr>
              <w:t xml:space="preserve"> related</w:t>
            </w:r>
            <w:r w:rsidRPr="009D0F29">
              <w:rPr>
                <w:rFonts w:ascii="Calibri" w:hAnsi="Calibri"/>
                <w:sz w:val="22"/>
              </w:rPr>
              <w:t xml:space="preserve"> international obligations</w:t>
            </w:r>
            <w:r w:rsidRPr="00D04512">
              <w:rPr>
                <w:rFonts w:ascii="Calibri" w:hAnsi="Calibri"/>
                <w:sz w:val="22"/>
              </w:rPr>
              <w:t>;</w:t>
            </w:r>
          </w:p>
        </w:tc>
        <w:tc>
          <w:tcPr>
            <w:tcW w:w="2199" w:type="dxa"/>
          </w:tcPr>
          <w:p w14:paraId="2CA774C9" w14:textId="77777777" w:rsidR="00982D8A" w:rsidRDefault="00982D8A" w:rsidP="0079494B">
            <w:pPr>
              <w:jc w:val="center"/>
            </w:pPr>
            <w:r>
              <w:t>7</w:t>
            </w:r>
          </w:p>
        </w:tc>
      </w:tr>
      <w:tr w:rsidR="00982D8A" w14:paraId="0C28CA9C" w14:textId="77777777" w:rsidTr="0079494B">
        <w:tc>
          <w:tcPr>
            <w:tcW w:w="7151" w:type="dxa"/>
          </w:tcPr>
          <w:p w14:paraId="131A5F3D" w14:textId="77777777" w:rsidR="00982D8A" w:rsidRPr="00E229E6" w:rsidRDefault="00982D8A" w:rsidP="0079494B">
            <w:pPr>
              <w:numPr>
                <w:ilvl w:val="0"/>
                <w:numId w:val="30"/>
              </w:numPr>
              <w:spacing w:after="0"/>
              <w:rPr>
                <w:rFonts w:ascii="Calibri" w:hAnsi="Calibri"/>
                <w:sz w:val="22"/>
              </w:rPr>
            </w:pPr>
            <w:r w:rsidRPr="00D04512">
              <w:rPr>
                <w:rFonts w:ascii="Calibri" w:hAnsi="Calibri"/>
                <w:sz w:val="22"/>
              </w:rPr>
              <w:t xml:space="preserve">The project </w:t>
            </w:r>
            <w:r>
              <w:rPr>
                <w:rFonts w:ascii="Calibri" w:hAnsi="Calibri"/>
                <w:sz w:val="22"/>
              </w:rPr>
              <w:t>expected outputs</w:t>
            </w:r>
            <w:r w:rsidRPr="00D04512">
              <w:rPr>
                <w:rFonts w:ascii="Calibri" w:hAnsi="Calibri"/>
                <w:sz w:val="22"/>
              </w:rPr>
              <w:t xml:space="preserve"> are in line with the SALW control priorities </w:t>
            </w:r>
            <w:r>
              <w:rPr>
                <w:rFonts w:ascii="Calibri" w:hAnsi="Calibri"/>
                <w:sz w:val="22"/>
              </w:rPr>
              <w:t xml:space="preserve">and identified needs </w:t>
            </w:r>
            <w:r w:rsidRPr="00D04512">
              <w:rPr>
                <w:rFonts w:ascii="Calibri" w:hAnsi="Calibri"/>
                <w:sz w:val="22"/>
              </w:rPr>
              <w:t>of the targeted jurisdiction</w:t>
            </w:r>
            <w:r>
              <w:rPr>
                <w:rFonts w:ascii="Calibri" w:hAnsi="Calibri"/>
                <w:sz w:val="22"/>
              </w:rPr>
              <w:t>/s</w:t>
            </w:r>
            <w:r w:rsidRPr="00D04512">
              <w:rPr>
                <w:rFonts w:ascii="Calibri" w:hAnsi="Calibri"/>
                <w:sz w:val="22"/>
              </w:rPr>
              <w:t>;</w:t>
            </w:r>
          </w:p>
        </w:tc>
        <w:tc>
          <w:tcPr>
            <w:tcW w:w="2199" w:type="dxa"/>
          </w:tcPr>
          <w:p w14:paraId="75C470D0" w14:textId="77777777" w:rsidR="00982D8A" w:rsidRDefault="00982D8A" w:rsidP="0079494B">
            <w:pPr>
              <w:jc w:val="center"/>
            </w:pPr>
            <w:r>
              <w:t>10</w:t>
            </w:r>
          </w:p>
        </w:tc>
      </w:tr>
      <w:tr w:rsidR="00982D8A" w14:paraId="3A7FBBC7" w14:textId="77777777" w:rsidTr="0079494B">
        <w:tc>
          <w:tcPr>
            <w:tcW w:w="7151" w:type="dxa"/>
          </w:tcPr>
          <w:p w14:paraId="13F17DA5" w14:textId="77777777" w:rsidR="00982D8A" w:rsidRPr="00D04512" w:rsidRDefault="00982D8A" w:rsidP="0079494B">
            <w:pPr>
              <w:numPr>
                <w:ilvl w:val="0"/>
                <w:numId w:val="30"/>
              </w:numPr>
              <w:spacing w:after="0"/>
              <w:rPr>
                <w:rFonts w:ascii="Calibri" w:hAnsi="Calibri"/>
                <w:sz w:val="22"/>
              </w:rPr>
            </w:pPr>
            <w:r w:rsidRPr="00E229E6">
              <w:rPr>
                <w:rFonts w:ascii="Calibri" w:hAnsi="Calibri"/>
                <w:sz w:val="22"/>
              </w:rPr>
              <w:t>The project’s results and resources framework is clearly defined</w:t>
            </w:r>
          </w:p>
        </w:tc>
        <w:tc>
          <w:tcPr>
            <w:tcW w:w="2199" w:type="dxa"/>
          </w:tcPr>
          <w:p w14:paraId="326DD48C" w14:textId="77777777" w:rsidR="00982D8A" w:rsidRDefault="00982D8A" w:rsidP="0079494B">
            <w:pPr>
              <w:jc w:val="center"/>
            </w:pPr>
            <w:r>
              <w:t>10</w:t>
            </w:r>
          </w:p>
        </w:tc>
      </w:tr>
      <w:tr w:rsidR="00982D8A" w14:paraId="627060D4" w14:textId="77777777" w:rsidTr="0079494B">
        <w:tc>
          <w:tcPr>
            <w:tcW w:w="7151" w:type="dxa"/>
          </w:tcPr>
          <w:p w14:paraId="51538E9E" w14:textId="77777777" w:rsidR="00982D8A" w:rsidRPr="0077589C" w:rsidRDefault="00982D8A" w:rsidP="0079494B">
            <w:pPr>
              <w:numPr>
                <w:ilvl w:val="0"/>
                <w:numId w:val="30"/>
              </w:numPr>
              <w:spacing w:after="0"/>
              <w:rPr>
                <w:rFonts w:ascii="Calibri" w:hAnsi="Calibri"/>
                <w:sz w:val="22"/>
              </w:rPr>
            </w:pPr>
            <w:r>
              <w:rPr>
                <w:rFonts w:ascii="Calibri" w:hAnsi="Calibri"/>
                <w:sz w:val="22"/>
              </w:rPr>
              <w:t>The p</w:t>
            </w:r>
            <w:r w:rsidRPr="00F95E58">
              <w:rPr>
                <w:rFonts w:ascii="Calibri" w:hAnsi="Calibri"/>
                <w:sz w:val="22"/>
              </w:rPr>
              <w:t>roject activities are well planned</w:t>
            </w:r>
            <w:r>
              <w:rPr>
                <w:rFonts w:ascii="Calibri" w:hAnsi="Calibri"/>
                <w:sz w:val="22"/>
              </w:rPr>
              <w:t xml:space="preserve"> and articulated </w:t>
            </w:r>
            <w:r w:rsidRPr="00F95E58">
              <w:rPr>
                <w:rFonts w:ascii="Calibri" w:hAnsi="Calibri"/>
                <w:sz w:val="22"/>
              </w:rPr>
              <w:t>and contribute to the achievement of the expected results;</w:t>
            </w:r>
          </w:p>
        </w:tc>
        <w:tc>
          <w:tcPr>
            <w:tcW w:w="2199" w:type="dxa"/>
          </w:tcPr>
          <w:p w14:paraId="0D932EA0" w14:textId="77777777" w:rsidR="00982D8A" w:rsidRDefault="00982D8A" w:rsidP="0079494B">
            <w:pPr>
              <w:jc w:val="center"/>
            </w:pPr>
            <w:r>
              <w:t>12</w:t>
            </w:r>
          </w:p>
        </w:tc>
      </w:tr>
      <w:tr w:rsidR="00982D8A" w14:paraId="6615E61B" w14:textId="77777777" w:rsidTr="0079494B">
        <w:tc>
          <w:tcPr>
            <w:tcW w:w="7151" w:type="dxa"/>
          </w:tcPr>
          <w:p w14:paraId="0C3F8168" w14:textId="77777777" w:rsidR="00982D8A" w:rsidRDefault="00982D8A" w:rsidP="0079494B">
            <w:pPr>
              <w:numPr>
                <w:ilvl w:val="0"/>
                <w:numId w:val="30"/>
              </w:numPr>
              <w:spacing w:after="0"/>
              <w:rPr>
                <w:rFonts w:ascii="Calibri" w:hAnsi="Calibri"/>
                <w:sz w:val="22"/>
              </w:rPr>
            </w:pPr>
            <w:r w:rsidRPr="00F95E58">
              <w:rPr>
                <w:rFonts w:ascii="Calibri" w:hAnsi="Calibri"/>
                <w:sz w:val="22"/>
              </w:rPr>
              <w:t>The project demonstrates sustainability of results;</w:t>
            </w:r>
          </w:p>
        </w:tc>
        <w:tc>
          <w:tcPr>
            <w:tcW w:w="2199" w:type="dxa"/>
          </w:tcPr>
          <w:p w14:paraId="7B5424D4" w14:textId="77777777" w:rsidR="00982D8A" w:rsidRDefault="00982D8A" w:rsidP="0079494B">
            <w:pPr>
              <w:jc w:val="center"/>
            </w:pPr>
            <w:r>
              <w:t>8</w:t>
            </w:r>
          </w:p>
        </w:tc>
      </w:tr>
      <w:tr w:rsidR="00982D8A" w14:paraId="3502869C" w14:textId="77777777" w:rsidTr="0079494B">
        <w:tc>
          <w:tcPr>
            <w:tcW w:w="7151" w:type="dxa"/>
          </w:tcPr>
          <w:p w14:paraId="712974D8" w14:textId="77777777" w:rsidR="00982D8A" w:rsidRDefault="00982D8A" w:rsidP="0079494B">
            <w:pPr>
              <w:numPr>
                <w:ilvl w:val="0"/>
                <w:numId w:val="30"/>
              </w:numPr>
              <w:spacing w:after="0"/>
              <w:rPr>
                <w:rFonts w:ascii="Calibri" w:hAnsi="Calibri"/>
                <w:sz w:val="22"/>
              </w:rPr>
            </w:pPr>
            <w:r w:rsidRPr="00F95E58">
              <w:rPr>
                <w:rFonts w:ascii="Calibri" w:hAnsi="Calibri"/>
                <w:sz w:val="22"/>
              </w:rPr>
              <w:t>The project demonstrates strong national ownership;</w:t>
            </w:r>
          </w:p>
        </w:tc>
        <w:tc>
          <w:tcPr>
            <w:tcW w:w="2199" w:type="dxa"/>
          </w:tcPr>
          <w:p w14:paraId="5E7476E8" w14:textId="77777777" w:rsidR="00982D8A" w:rsidRDefault="00982D8A" w:rsidP="0079494B">
            <w:pPr>
              <w:jc w:val="center"/>
            </w:pPr>
            <w:r>
              <w:t>15</w:t>
            </w:r>
          </w:p>
        </w:tc>
      </w:tr>
      <w:tr w:rsidR="00982D8A" w14:paraId="5F7ABC97" w14:textId="77777777" w:rsidTr="0079494B">
        <w:tc>
          <w:tcPr>
            <w:tcW w:w="7151" w:type="dxa"/>
          </w:tcPr>
          <w:p w14:paraId="3CF2F0D4" w14:textId="77777777" w:rsidR="00982D8A" w:rsidRPr="00F95E58" w:rsidRDefault="00982D8A" w:rsidP="0079494B">
            <w:pPr>
              <w:numPr>
                <w:ilvl w:val="0"/>
                <w:numId w:val="30"/>
              </w:numPr>
              <w:spacing w:after="0"/>
              <w:rPr>
                <w:rFonts w:ascii="Calibri" w:hAnsi="Calibri"/>
                <w:sz w:val="22"/>
              </w:rPr>
            </w:pPr>
            <w:r>
              <w:rPr>
                <w:rFonts w:ascii="Calibri" w:hAnsi="Calibri"/>
                <w:sz w:val="22"/>
              </w:rPr>
              <w:t>The risks are clearly identified and managed;</w:t>
            </w:r>
          </w:p>
        </w:tc>
        <w:tc>
          <w:tcPr>
            <w:tcW w:w="2199" w:type="dxa"/>
          </w:tcPr>
          <w:p w14:paraId="4F0DCCE8" w14:textId="77777777" w:rsidR="00982D8A" w:rsidRDefault="00982D8A" w:rsidP="0079494B">
            <w:pPr>
              <w:jc w:val="center"/>
            </w:pPr>
            <w:r>
              <w:t>8</w:t>
            </w:r>
          </w:p>
        </w:tc>
      </w:tr>
      <w:tr w:rsidR="00982D8A" w14:paraId="5D5E6CE6" w14:textId="77777777" w:rsidTr="0079494B">
        <w:tc>
          <w:tcPr>
            <w:tcW w:w="7151" w:type="dxa"/>
          </w:tcPr>
          <w:p w14:paraId="02A1E4AB" w14:textId="77777777" w:rsidR="00982D8A" w:rsidRDefault="00982D8A" w:rsidP="0079494B">
            <w:pPr>
              <w:numPr>
                <w:ilvl w:val="0"/>
                <w:numId w:val="30"/>
              </w:numPr>
              <w:spacing w:after="0"/>
              <w:rPr>
                <w:rFonts w:ascii="Calibri" w:hAnsi="Calibri"/>
                <w:sz w:val="22"/>
              </w:rPr>
            </w:pPr>
            <w:r>
              <w:rPr>
                <w:rFonts w:ascii="Calibri" w:hAnsi="Calibri"/>
                <w:sz w:val="22"/>
              </w:rPr>
              <w:t>The p</w:t>
            </w:r>
            <w:r w:rsidRPr="00F95E58">
              <w:rPr>
                <w:rFonts w:ascii="Calibri" w:hAnsi="Calibri"/>
                <w:sz w:val="22"/>
              </w:rPr>
              <w:t>roject resources are allocated in an efficient and effective manner;</w:t>
            </w:r>
          </w:p>
        </w:tc>
        <w:tc>
          <w:tcPr>
            <w:tcW w:w="2199" w:type="dxa"/>
          </w:tcPr>
          <w:p w14:paraId="17CE389C" w14:textId="77777777" w:rsidR="00982D8A" w:rsidRDefault="00982D8A" w:rsidP="0079494B">
            <w:pPr>
              <w:jc w:val="center"/>
            </w:pPr>
            <w:r>
              <w:t>10</w:t>
            </w:r>
          </w:p>
        </w:tc>
      </w:tr>
      <w:tr w:rsidR="00982D8A" w14:paraId="384126CE" w14:textId="77777777" w:rsidTr="0079494B">
        <w:tc>
          <w:tcPr>
            <w:tcW w:w="7151" w:type="dxa"/>
          </w:tcPr>
          <w:p w14:paraId="0A849531" w14:textId="77777777" w:rsidR="00982D8A" w:rsidRDefault="00982D8A" w:rsidP="0079494B">
            <w:pPr>
              <w:numPr>
                <w:ilvl w:val="0"/>
                <w:numId w:val="30"/>
              </w:numPr>
              <w:spacing w:after="0"/>
              <w:rPr>
                <w:rFonts w:ascii="Calibri" w:hAnsi="Calibri"/>
                <w:sz w:val="22"/>
              </w:rPr>
            </w:pPr>
            <w:r w:rsidRPr="00F95E58">
              <w:rPr>
                <w:rFonts w:ascii="Calibri" w:hAnsi="Calibri"/>
                <w:sz w:val="22"/>
              </w:rPr>
              <w:t>The project adheres to social and environmental standards;</w:t>
            </w:r>
          </w:p>
        </w:tc>
        <w:tc>
          <w:tcPr>
            <w:tcW w:w="2199" w:type="dxa"/>
          </w:tcPr>
          <w:p w14:paraId="1B5C1FEA" w14:textId="77777777" w:rsidR="00982D8A" w:rsidRDefault="00982D8A" w:rsidP="0079494B">
            <w:pPr>
              <w:jc w:val="center"/>
            </w:pPr>
            <w:r>
              <w:t>5</w:t>
            </w:r>
          </w:p>
        </w:tc>
      </w:tr>
      <w:tr w:rsidR="00982D8A" w14:paraId="1B1A35C8" w14:textId="77777777" w:rsidTr="0079494B">
        <w:tc>
          <w:tcPr>
            <w:tcW w:w="7151" w:type="dxa"/>
          </w:tcPr>
          <w:p w14:paraId="367A7BA9" w14:textId="77777777" w:rsidR="00982D8A" w:rsidRDefault="00982D8A" w:rsidP="0079494B">
            <w:pPr>
              <w:numPr>
                <w:ilvl w:val="0"/>
                <w:numId w:val="30"/>
              </w:numPr>
              <w:spacing w:after="0"/>
              <w:rPr>
                <w:rFonts w:ascii="Calibri" w:hAnsi="Calibri"/>
                <w:sz w:val="22"/>
              </w:rPr>
            </w:pPr>
            <w:r w:rsidRPr="00F95E58">
              <w:rPr>
                <w:rFonts w:ascii="Calibri" w:hAnsi="Calibri"/>
                <w:sz w:val="22"/>
              </w:rPr>
              <w:t>The project in</w:t>
            </w:r>
            <w:r>
              <w:rPr>
                <w:rFonts w:ascii="Calibri" w:hAnsi="Calibri"/>
                <w:sz w:val="22"/>
              </w:rPr>
              <w:t xml:space="preserve">tegrates </w:t>
            </w:r>
            <w:r w:rsidRPr="00F95E58">
              <w:rPr>
                <w:rFonts w:ascii="Calibri" w:hAnsi="Calibri"/>
                <w:sz w:val="22"/>
              </w:rPr>
              <w:t xml:space="preserve">gender perspective into its activities and </w:t>
            </w:r>
            <w:r>
              <w:rPr>
                <w:rFonts w:ascii="Calibri" w:hAnsi="Calibri"/>
                <w:sz w:val="22"/>
              </w:rPr>
              <w:t xml:space="preserve">expected </w:t>
            </w:r>
            <w:r w:rsidRPr="00F95E58">
              <w:rPr>
                <w:rFonts w:ascii="Calibri" w:hAnsi="Calibri"/>
                <w:sz w:val="22"/>
              </w:rPr>
              <w:t>results</w:t>
            </w:r>
            <w:r>
              <w:rPr>
                <w:rFonts w:ascii="Calibri" w:hAnsi="Calibri"/>
                <w:sz w:val="22"/>
              </w:rPr>
              <w:t>;</w:t>
            </w:r>
          </w:p>
        </w:tc>
        <w:tc>
          <w:tcPr>
            <w:tcW w:w="2199" w:type="dxa"/>
          </w:tcPr>
          <w:p w14:paraId="13E6DF89" w14:textId="77777777" w:rsidR="00982D8A" w:rsidRDefault="00982D8A" w:rsidP="0079494B">
            <w:pPr>
              <w:jc w:val="center"/>
            </w:pPr>
            <w:r>
              <w:t>5</w:t>
            </w:r>
          </w:p>
        </w:tc>
      </w:tr>
      <w:tr w:rsidR="00982D8A" w14:paraId="2B8F43EB" w14:textId="77777777" w:rsidTr="0079494B">
        <w:tc>
          <w:tcPr>
            <w:tcW w:w="7151" w:type="dxa"/>
          </w:tcPr>
          <w:p w14:paraId="578DF72C" w14:textId="77777777" w:rsidR="00982D8A" w:rsidRDefault="00982D8A" w:rsidP="0079494B">
            <w:pPr>
              <w:numPr>
                <w:ilvl w:val="0"/>
                <w:numId w:val="30"/>
              </w:numPr>
              <w:spacing w:after="0"/>
              <w:rPr>
                <w:rFonts w:ascii="Calibri" w:hAnsi="Calibri"/>
                <w:sz w:val="22"/>
              </w:rPr>
            </w:pPr>
            <w:r>
              <w:rPr>
                <w:rFonts w:ascii="Calibri" w:hAnsi="Calibri"/>
                <w:sz w:val="22"/>
              </w:rPr>
              <w:lastRenderedPageBreak/>
              <w:t>The visibility plan is clear and appropriate for the proposed project, in terms of the communication and visibility materials to be produced, targeted audiences, messaging, activities, and donor visibility.</w:t>
            </w:r>
          </w:p>
        </w:tc>
        <w:tc>
          <w:tcPr>
            <w:tcW w:w="2199" w:type="dxa"/>
          </w:tcPr>
          <w:p w14:paraId="7C5031B1" w14:textId="77777777" w:rsidR="00982D8A" w:rsidRDefault="00982D8A" w:rsidP="0079494B">
            <w:pPr>
              <w:jc w:val="center"/>
            </w:pPr>
            <w:r>
              <w:t>5</w:t>
            </w:r>
          </w:p>
        </w:tc>
      </w:tr>
      <w:tr w:rsidR="00982D8A" w14:paraId="48CEE4D6" w14:textId="77777777" w:rsidTr="0079494B">
        <w:tc>
          <w:tcPr>
            <w:tcW w:w="7151" w:type="dxa"/>
          </w:tcPr>
          <w:p w14:paraId="322D6883" w14:textId="77777777" w:rsidR="00982D8A" w:rsidRDefault="00982D8A" w:rsidP="0079494B">
            <w:pPr>
              <w:numPr>
                <w:ilvl w:val="0"/>
                <w:numId w:val="30"/>
              </w:numPr>
              <w:spacing w:after="0"/>
              <w:rPr>
                <w:rFonts w:ascii="Calibri" w:hAnsi="Calibri"/>
                <w:sz w:val="22"/>
              </w:rPr>
            </w:pPr>
            <w:r>
              <w:rPr>
                <w:rFonts w:ascii="Calibri" w:hAnsi="Calibri"/>
                <w:sz w:val="22"/>
              </w:rPr>
              <w:t xml:space="preserve">Knowledge management is appropriately ensured through relevant knowledge products and/or other actions. </w:t>
            </w:r>
          </w:p>
        </w:tc>
        <w:tc>
          <w:tcPr>
            <w:tcW w:w="2199" w:type="dxa"/>
          </w:tcPr>
          <w:p w14:paraId="130F30C6" w14:textId="77777777" w:rsidR="00982D8A" w:rsidRDefault="00982D8A" w:rsidP="0079494B">
            <w:pPr>
              <w:jc w:val="center"/>
            </w:pPr>
            <w:r>
              <w:t>5</w:t>
            </w:r>
          </w:p>
        </w:tc>
      </w:tr>
      <w:tr w:rsidR="00982D8A" w14:paraId="563A229F" w14:textId="77777777" w:rsidTr="0079494B">
        <w:tc>
          <w:tcPr>
            <w:tcW w:w="7151" w:type="dxa"/>
            <w:vAlign w:val="center"/>
          </w:tcPr>
          <w:p w14:paraId="442DB577" w14:textId="77777777" w:rsidR="00982D8A" w:rsidRPr="00DA5BDE" w:rsidRDefault="00982D8A" w:rsidP="0079494B">
            <w:pPr>
              <w:spacing w:after="0"/>
              <w:jc w:val="right"/>
              <w:rPr>
                <w:rFonts w:ascii="Calibri" w:hAnsi="Calibri"/>
                <w:b/>
                <w:sz w:val="22"/>
              </w:rPr>
            </w:pPr>
            <w:r w:rsidRPr="00DA5BDE">
              <w:rPr>
                <w:rFonts w:ascii="Calibri" w:hAnsi="Calibri"/>
                <w:b/>
                <w:sz w:val="22"/>
              </w:rPr>
              <w:t>TOTAL</w:t>
            </w:r>
          </w:p>
        </w:tc>
        <w:tc>
          <w:tcPr>
            <w:tcW w:w="2199" w:type="dxa"/>
          </w:tcPr>
          <w:p w14:paraId="28977A43" w14:textId="77777777" w:rsidR="00982D8A" w:rsidRDefault="00982D8A" w:rsidP="0079494B">
            <w:pPr>
              <w:jc w:val="center"/>
            </w:pPr>
            <w:r>
              <w:t>100</w:t>
            </w:r>
          </w:p>
        </w:tc>
      </w:tr>
    </w:tbl>
    <w:p w14:paraId="0F4F1624" w14:textId="77777777" w:rsidR="00982D8A" w:rsidRDefault="00982D8A" w:rsidP="00982D8A">
      <w:pPr>
        <w:spacing w:after="0" w:line="240" w:lineRule="auto"/>
        <w:rPr>
          <w:rFonts w:ascii="Calibri" w:hAnsi="Calibri"/>
          <w:sz w:val="22"/>
        </w:rPr>
      </w:pPr>
    </w:p>
    <w:p w14:paraId="68111787" w14:textId="77777777" w:rsidR="00982D8A" w:rsidRDefault="00982D8A" w:rsidP="00982D8A">
      <w:pPr>
        <w:autoSpaceDE w:val="0"/>
        <w:autoSpaceDN w:val="0"/>
        <w:adjustRightInd w:val="0"/>
        <w:spacing w:after="0" w:line="240" w:lineRule="auto"/>
        <w:jc w:val="both"/>
        <w:rPr>
          <w:rFonts w:ascii="Calibri" w:hAnsi="Calibri"/>
          <w:sz w:val="22"/>
        </w:rPr>
      </w:pPr>
    </w:p>
    <w:p w14:paraId="72C07593" w14:textId="77777777" w:rsidR="00982D8A" w:rsidRDefault="00982D8A" w:rsidP="00982D8A">
      <w:pPr>
        <w:autoSpaceDE w:val="0"/>
        <w:autoSpaceDN w:val="0"/>
        <w:adjustRightInd w:val="0"/>
        <w:spacing w:after="0" w:line="240" w:lineRule="auto"/>
        <w:jc w:val="both"/>
        <w:rPr>
          <w:rFonts w:ascii="Calibri" w:hAnsi="Calibri"/>
          <w:sz w:val="22"/>
        </w:rPr>
      </w:pPr>
      <w:r>
        <w:rPr>
          <w:rFonts w:ascii="Calibri" w:hAnsi="Calibri"/>
          <w:sz w:val="22"/>
        </w:rPr>
        <w:t xml:space="preserve">Also, </w:t>
      </w:r>
      <w:r>
        <w:t>Reference to international obligations of the authorities should be mentioned in the project proposal</w:t>
      </w:r>
      <w:r>
        <w:rPr>
          <w:rFonts w:ascii="Calibri" w:hAnsi="Calibri"/>
          <w:sz w:val="22"/>
        </w:rPr>
        <w:t>.</w:t>
      </w:r>
    </w:p>
    <w:p w14:paraId="5C6B78F1" w14:textId="77777777" w:rsidR="00982D8A" w:rsidRDefault="00982D8A" w:rsidP="00982D8A">
      <w:pPr>
        <w:autoSpaceDE w:val="0"/>
        <w:autoSpaceDN w:val="0"/>
        <w:adjustRightInd w:val="0"/>
        <w:spacing w:after="0" w:line="240" w:lineRule="auto"/>
        <w:jc w:val="both"/>
        <w:rPr>
          <w:rFonts w:ascii="Calibri" w:hAnsi="Calibri"/>
          <w:sz w:val="22"/>
        </w:rPr>
      </w:pPr>
    </w:p>
    <w:p w14:paraId="220BAF29" w14:textId="77777777" w:rsidR="00982D8A" w:rsidRPr="00384B28" w:rsidRDefault="00982D8A" w:rsidP="00982D8A">
      <w:pPr>
        <w:autoSpaceDE w:val="0"/>
        <w:autoSpaceDN w:val="0"/>
        <w:adjustRightInd w:val="0"/>
        <w:spacing w:after="0" w:line="240" w:lineRule="auto"/>
        <w:jc w:val="both"/>
        <w:rPr>
          <w:rFonts w:ascii="Calibri" w:hAnsi="Calibri"/>
          <w:sz w:val="22"/>
        </w:rPr>
      </w:pPr>
      <w:r w:rsidRPr="00384B28">
        <w:rPr>
          <w:rFonts w:ascii="Calibri" w:hAnsi="Calibri"/>
          <w:b/>
          <w:sz w:val="22"/>
          <w:u w:val="single"/>
        </w:rPr>
        <w:t>Thematic priorities</w:t>
      </w:r>
      <w:r w:rsidRPr="00384B28">
        <w:rPr>
          <w:rFonts w:ascii="Calibri" w:hAnsi="Calibri"/>
          <w:sz w:val="22"/>
        </w:rPr>
        <w:t>:</w:t>
      </w:r>
    </w:p>
    <w:p w14:paraId="354B8A2B" w14:textId="77777777" w:rsidR="00982D8A" w:rsidRPr="00384B28" w:rsidRDefault="00982D8A" w:rsidP="00982D8A">
      <w:pPr>
        <w:autoSpaceDE w:val="0"/>
        <w:autoSpaceDN w:val="0"/>
        <w:adjustRightInd w:val="0"/>
        <w:spacing w:after="0" w:line="240" w:lineRule="auto"/>
        <w:jc w:val="both"/>
        <w:rPr>
          <w:rFonts w:ascii="Calibri" w:hAnsi="Calibri"/>
          <w:sz w:val="22"/>
        </w:rPr>
      </w:pPr>
      <w:r w:rsidRPr="00384B28">
        <w:rPr>
          <w:rFonts w:ascii="Calibri" w:hAnsi="Calibri"/>
          <w:sz w:val="22"/>
        </w:rPr>
        <w:t>The proposals should focus on the priorit</w:t>
      </w:r>
      <w:r>
        <w:rPr>
          <w:rFonts w:ascii="Calibri" w:hAnsi="Calibri"/>
          <w:sz w:val="22"/>
        </w:rPr>
        <w:t>y</w:t>
      </w:r>
      <w:r w:rsidRPr="00384B28">
        <w:rPr>
          <w:rFonts w:ascii="Calibri" w:hAnsi="Calibri"/>
          <w:sz w:val="22"/>
        </w:rPr>
        <w:t xml:space="preserve"> areas of the Roadmap implementation, focusing on:</w:t>
      </w:r>
    </w:p>
    <w:p w14:paraId="2E005808" w14:textId="469E0DA1" w:rsidR="00982D8A" w:rsidRPr="00384B28" w:rsidRDefault="00982D8A" w:rsidP="00982D8A">
      <w:pPr>
        <w:pStyle w:val="ListParagraph"/>
        <w:numPr>
          <w:ilvl w:val="0"/>
          <w:numId w:val="43"/>
        </w:numPr>
        <w:autoSpaceDE w:val="0"/>
        <w:autoSpaceDN w:val="0"/>
        <w:adjustRightInd w:val="0"/>
        <w:spacing w:after="0" w:line="240" w:lineRule="auto"/>
        <w:jc w:val="both"/>
        <w:rPr>
          <w:rFonts w:ascii="Calibri" w:hAnsi="Calibri"/>
          <w:sz w:val="22"/>
        </w:rPr>
      </w:pPr>
      <w:proofErr w:type="gramStart"/>
      <w:r w:rsidRPr="00384B28">
        <w:rPr>
          <w:rFonts w:ascii="Calibri" w:hAnsi="Calibri"/>
          <w:sz w:val="22"/>
        </w:rPr>
        <w:t>tackling</w:t>
      </w:r>
      <w:proofErr w:type="gramEnd"/>
      <w:r w:rsidRPr="00384B28">
        <w:rPr>
          <w:rFonts w:ascii="Calibri" w:hAnsi="Calibri"/>
          <w:sz w:val="22"/>
        </w:rPr>
        <w:t xml:space="preserve"> illicit </w:t>
      </w:r>
      <w:r>
        <w:rPr>
          <w:rFonts w:ascii="Calibri" w:hAnsi="Calibri"/>
          <w:sz w:val="22"/>
        </w:rPr>
        <w:t>flow</w:t>
      </w:r>
      <w:r w:rsidRPr="00384B28">
        <w:rPr>
          <w:rFonts w:ascii="Calibri" w:hAnsi="Calibri"/>
          <w:sz w:val="22"/>
        </w:rPr>
        <w:t xml:space="preserve"> of firearms and reducing illicit possession of firearms, and their inter-connection with other areas including strengthening of criminal justice system and prevention of proliferation.</w:t>
      </w:r>
      <w:r>
        <w:rPr>
          <w:rFonts w:ascii="Calibri" w:hAnsi="Calibri"/>
          <w:sz w:val="22"/>
        </w:rPr>
        <w:t xml:space="preserve"> </w:t>
      </w:r>
      <w:r w:rsidRPr="00BE6823">
        <w:rPr>
          <w:rFonts w:ascii="Calibri" w:hAnsi="Calibri"/>
          <w:sz w:val="22"/>
        </w:rPr>
        <w:t>Project proposals should integrate the gender perspective</w:t>
      </w:r>
      <w:r w:rsidR="00BE6823">
        <w:rPr>
          <w:rFonts w:ascii="Calibri" w:hAnsi="Calibri"/>
          <w:sz w:val="22"/>
        </w:rPr>
        <w:t xml:space="preserve">. </w:t>
      </w:r>
    </w:p>
    <w:p w14:paraId="6035A360" w14:textId="77777777" w:rsidR="00982D8A" w:rsidRPr="006136BB" w:rsidRDefault="00982D8A" w:rsidP="006136BB">
      <w:pPr>
        <w:spacing w:after="0" w:line="240" w:lineRule="auto"/>
        <w:jc w:val="both"/>
        <w:rPr>
          <w:rFonts w:ascii="Calibri" w:hAnsi="Calibri"/>
          <w:sz w:val="22"/>
          <w:lang w:val="en-GB"/>
        </w:rPr>
      </w:pPr>
    </w:p>
    <w:p w14:paraId="0E82A9F2" w14:textId="77777777" w:rsidR="00873317" w:rsidRPr="00A053D4" w:rsidRDefault="005C2219" w:rsidP="006136BB">
      <w:pPr>
        <w:pStyle w:val="Heading2"/>
      </w:pPr>
      <w:bookmarkStart w:id="6" w:name="_Toc15305475"/>
      <w:r w:rsidRPr="00A053D4">
        <w:t>Announcement of results</w:t>
      </w:r>
      <w:bookmarkEnd w:id="6"/>
    </w:p>
    <w:p w14:paraId="0E82A9F3" w14:textId="3D2AEDE7" w:rsidR="002F13FF" w:rsidRPr="003B2FB5" w:rsidRDefault="002F13FF" w:rsidP="002F13FF">
      <w:pPr>
        <w:spacing w:after="0" w:line="240" w:lineRule="auto"/>
        <w:jc w:val="both"/>
        <w:rPr>
          <w:rFonts w:ascii="Calibri" w:hAnsi="Calibri"/>
          <w:sz w:val="22"/>
          <w:lang w:val="en-GB"/>
        </w:rPr>
      </w:pPr>
      <w:r w:rsidRPr="003B2FB5">
        <w:rPr>
          <w:rFonts w:ascii="Calibri" w:hAnsi="Calibri"/>
          <w:sz w:val="22"/>
          <w:lang w:val="en-GB"/>
        </w:rPr>
        <w:t xml:space="preserve">Within 10 working days after the Steering Committee meetings, the Secretariat will provide information to all </w:t>
      </w:r>
      <w:r w:rsidR="00C44E64">
        <w:rPr>
          <w:rFonts w:ascii="Calibri" w:hAnsi="Calibri"/>
          <w:sz w:val="22"/>
          <w:szCs w:val="22"/>
        </w:rPr>
        <w:t>offices of the participating UN organizations</w:t>
      </w:r>
      <w:r w:rsidR="00C44E64" w:rsidRPr="003B2FB5">
        <w:rPr>
          <w:rFonts w:ascii="Calibri" w:hAnsi="Calibri"/>
          <w:sz w:val="22"/>
          <w:lang w:val="en-GB"/>
        </w:rPr>
        <w:t xml:space="preserve"> </w:t>
      </w:r>
      <w:r w:rsidRPr="003B2FB5">
        <w:rPr>
          <w:rFonts w:ascii="Calibri" w:hAnsi="Calibri"/>
          <w:sz w:val="22"/>
          <w:lang w:val="en-GB"/>
        </w:rPr>
        <w:t>on the decisions of the SC and indicate the following stages of the actual implementation of the proje</w:t>
      </w:r>
      <w:r>
        <w:rPr>
          <w:rFonts w:ascii="Calibri" w:hAnsi="Calibri"/>
          <w:sz w:val="22"/>
          <w:lang w:val="en-GB"/>
        </w:rPr>
        <w:t>ct and launch of its activities.</w:t>
      </w:r>
    </w:p>
    <w:p w14:paraId="0E82A9F4" w14:textId="77777777" w:rsidR="002F13FF" w:rsidRDefault="002F13FF" w:rsidP="002F13FF">
      <w:pPr>
        <w:spacing w:after="0" w:line="240" w:lineRule="auto"/>
        <w:jc w:val="both"/>
        <w:rPr>
          <w:rFonts w:ascii="Calibri" w:hAnsi="Calibri"/>
          <w:sz w:val="22"/>
          <w:lang w:val="en-GB"/>
        </w:rPr>
      </w:pPr>
    </w:p>
    <w:p w14:paraId="0E82A9F5" w14:textId="116EB7C6" w:rsidR="00BB0A09" w:rsidRDefault="002F13FF" w:rsidP="006136BB">
      <w:pPr>
        <w:tabs>
          <w:tab w:val="left" w:pos="360"/>
        </w:tabs>
        <w:spacing w:line="240" w:lineRule="auto"/>
        <w:jc w:val="both"/>
        <w:rPr>
          <w:rFonts w:ascii="Calibri" w:hAnsi="Calibri"/>
          <w:sz w:val="22"/>
        </w:rPr>
      </w:pPr>
      <w:r>
        <w:rPr>
          <w:rFonts w:ascii="Calibri" w:hAnsi="Calibri"/>
          <w:sz w:val="22"/>
        </w:rPr>
        <w:t>T</w:t>
      </w:r>
      <w:r w:rsidR="00BB0A09" w:rsidRPr="00A053D4">
        <w:rPr>
          <w:rFonts w:ascii="Calibri" w:hAnsi="Calibri"/>
          <w:sz w:val="22"/>
        </w:rPr>
        <w:t xml:space="preserve">he </w:t>
      </w:r>
      <w:r w:rsidR="00C44E64">
        <w:rPr>
          <w:rFonts w:ascii="Calibri" w:hAnsi="Calibri"/>
          <w:sz w:val="22"/>
          <w:szCs w:val="22"/>
        </w:rPr>
        <w:t>offices of the participating UN organizations</w:t>
      </w:r>
      <w:r w:rsidR="005B25E3">
        <w:rPr>
          <w:rFonts w:ascii="Calibri" w:hAnsi="Calibri"/>
          <w:sz w:val="22"/>
        </w:rPr>
        <w:t>,</w:t>
      </w:r>
      <w:r w:rsidR="00BB0A09" w:rsidRPr="00A053D4">
        <w:rPr>
          <w:rFonts w:ascii="Calibri" w:hAnsi="Calibri"/>
          <w:sz w:val="22"/>
        </w:rPr>
        <w:t xml:space="preserve"> whose pro</w:t>
      </w:r>
      <w:r w:rsidR="005B25E3">
        <w:rPr>
          <w:rFonts w:ascii="Calibri" w:hAnsi="Calibri"/>
          <w:sz w:val="22"/>
        </w:rPr>
        <w:t xml:space="preserve">posals </w:t>
      </w:r>
      <w:r w:rsidR="00BB0A09" w:rsidRPr="00A053D4">
        <w:rPr>
          <w:rFonts w:ascii="Calibri" w:hAnsi="Calibri"/>
          <w:sz w:val="22"/>
        </w:rPr>
        <w:t xml:space="preserve">have been </w:t>
      </w:r>
      <w:r w:rsidR="005B25E3">
        <w:rPr>
          <w:rFonts w:ascii="Calibri" w:hAnsi="Calibri"/>
          <w:sz w:val="22"/>
        </w:rPr>
        <w:t xml:space="preserve">approved </w:t>
      </w:r>
      <w:r w:rsidR="00341304">
        <w:rPr>
          <w:rFonts w:ascii="Calibri" w:hAnsi="Calibri"/>
          <w:sz w:val="22"/>
        </w:rPr>
        <w:t>for funding</w:t>
      </w:r>
      <w:r>
        <w:rPr>
          <w:rFonts w:ascii="Calibri" w:hAnsi="Calibri"/>
          <w:sz w:val="22"/>
        </w:rPr>
        <w:t>,</w:t>
      </w:r>
      <w:r w:rsidR="00BB0A09" w:rsidRPr="00A053D4">
        <w:rPr>
          <w:rFonts w:ascii="Calibri" w:hAnsi="Calibri"/>
          <w:sz w:val="22"/>
        </w:rPr>
        <w:t xml:space="preserve"> </w:t>
      </w:r>
      <w:r w:rsidR="005B25E3">
        <w:rPr>
          <w:rFonts w:ascii="Calibri" w:hAnsi="Calibri"/>
          <w:sz w:val="22"/>
        </w:rPr>
        <w:t xml:space="preserve">may be </w:t>
      </w:r>
      <w:r w:rsidR="00664140" w:rsidRPr="00A053D4">
        <w:rPr>
          <w:rFonts w:ascii="Calibri" w:hAnsi="Calibri"/>
          <w:sz w:val="22"/>
        </w:rPr>
        <w:t>reques</w:t>
      </w:r>
      <w:r w:rsidR="00664140">
        <w:rPr>
          <w:rFonts w:ascii="Calibri" w:hAnsi="Calibri"/>
          <w:sz w:val="22"/>
        </w:rPr>
        <w:t xml:space="preserve">ted </w:t>
      </w:r>
      <w:r w:rsidR="00BB0A09">
        <w:rPr>
          <w:rFonts w:ascii="Calibri" w:hAnsi="Calibri"/>
          <w:sz w:val="22"/>
        </w:rPr>
        <w:t xml:space="preserve">to submit </w:t>
      </w:r>
      <w:r w:rsidR="005B25E3">
        <w:rPr>
          <w:rFonts w:ascii="Calibri" w:hAnsi="Calibri"/>
          <w:sz w:val="22"/>
        </w:rPr>
        <w:t xml:space="preserve">more elaborated proposals, e.g. updated </w:t>
      </w:r>
      <w:r w:rsidR="00BB0A09">
        <w:rPr>
          <w:rFonts w:ascii="Calibri" w:hAnsi="Calibri"/>
          <w:sz w:val="22"/>
        </w:rPr>
        <w:t xml:space="preserve">project </w:t>
      </w:r>
      <w:r w:rsidR="008B28DE">
        <w:rPr>
          <w:rFonts w:ascii="Calibri" w:hAnsi="Calibri"/>
          <w:sz w:val="22"/>
        </w:rPr>
        <w:t>r</w:t>
      </w:r>
      <w:r w:rsidR="00BB0A09">
        <w:rPr>
          <w:rFonts w:ascii="Calibri" w:hAnsi="Calibri"/>
          <w:sz w:val="22"/>
        </w:rPr>
        <w:t xml:space="preserve">esults </w:t>
      </w:r>
      <w:r w:rsidR="008B28DE">
        <w:rPr>
          <w:rFonts w:ascii="Calibri" w:hAnsi="Calibri"/>
          <w:sz w:val="22"/>
        </w:rPr>
        <w:t>f</w:t>
      </w:r>
      <w:r w:rsidR="00BB0A09">
        <w:rPr>
          <w:rFonts w:ascii="Calibri" w:hAnsi="Calibri"/>
          <w:sz w:val="22"/>
        </w:rPr>
        <w:t>ramework</w:t>
      </w:r>
      <w:r w:rsidR="008B28DE">
        <w:rPr>
          <w:rFonts w:ascii="Calibri" w:hAnsi="Calibri"/>
          <w:sz w:val="22"/>
        </w:rPr>
        <w:t>,</w:t>
      </w:r>
      <w:r w:rsidR="00E71DD1">
        <w:rPr>
          <w:rFonts w:ascii="Calibri" w:hAnsi="Calibri"/>
          <w:sz w:val="22"/>
        </w:rPr>
        <w:t xml:space="preserve"> </w:t>
      </w:r>
      <w:r w:rsidR="008B28DE">
        <w:rPr>
          <w:rFonts w:ascii="Calibri" w:hAnsi="Calibri"/>
          <w:sz w:val="22"/>
        </w:rPr>
        <w:t>risk matrix,</w:t>
      </w:r>
      <w:r w:rsidR="00E71DD1">
        <w:rPr>
          <w:rFonts w:ascii="Calibri" w:hAnsi="Calibri"/>
          <w:sz w:val="22"/>
        </w:rPr>
        <w:t xml:space="preserve"> and</w:t>
      </w:r>
      <w:r w:rsidR="008B28DE">
        <w:rPr>
          <w:rFonts w:ascii="Calibri" w:hAnsi="Calibri"/>
          <w:sz w:val="22"/>
        </w:rPr>
        <w:t xml:space="preserve"> (multi-)annual work plan, </w:t>
      </w:r>
      <w:r w:rsidR="005B25E3">
        <w:rPr>
          <w:rFonts w:ascii="Calibri" w:hAnsi="Calibri"/>
          <w:sz w:val="22"/>
        </w:rPr>
        <w:t xml:space="preserve">depending on </w:t>
      </w:r>
      <w:r w:rsidR="008B28DE">
        <w:rPr>
          <w:rFonts w:ascii="Calibri" w:hAnsi="Calibri"/>
          <w:sz w:val="22"/>
        </w:rPr>
        <w:t xml:space="preserve">the initial project proposal. The project results framework </w:t>
      </w:r>
      <w:r w:rsidR="004C35F4">
        <w:rPr>
          <w:rFonts w:ascii="Calibri" w:hAnsi="Calibri"/>
          <w:sz w:val="22"/>
        </w:rPr>
        <w:t xml:space="preserve">will </w:t>
      </w:r>
      <w:r w:rsidR="008B28DE">
        <w:rPr>
          <w:rFonts w:ascii="Calibri" w:hAnsi="Calibri"/>
          <w:sz w:val="22"/>
        </w:rPr>
        <w:t>be specifically used for</w:t>
      </w:r>
      <w:r w:rsidR="004C35F4">
        <w:rPr>
          <w:rFonts w:ascii="Calibri" w:hAnsi="Calibri"/>
          <w:sz w:val="22"/>
        </w:rPr>
        <w:t xml:space="preserve"> monitoring and evaluation</w:t>
      </w:r>
      <w:r w:rsidR="008B28DE">
        <w:rPr>
          <w:rFonts w:ascii="Calibri" w:hAnsi="Calibri"/>
          <w:sz w:val="22"/>
        </w:rPr>
        <w:t xml:space="preserve"> purposes</w:t>
      </w:r>
      <w:r w:rsidR="004C35F4">
        <w:rPr>
          <w:rFonts w:ascii="Calibri" w:hAnsi="Calibri"/>
          <w:sz w:val="22"/>
        </w:rPr>
        <w:t xml:space="preserve">. </w:t>
      </w:r>
      <w:r w:rsidR="00BB0A09">
        <w:rPr>
          <w:rFonts w:ascii="Calibri" w:hAnsi="Calibri"/>
          <w:sz w:val="22"/>
        </w:rPr>
        <w:t xml:space="preserve"> </w:t>
      </w:r>
    </w:p>
    <w:p w14:paraId="0E82A9F6" w14:textId="30BEF32D" w:rsidR="00873317" w:rsidRDefault="00B90C0F" w:rsidP="006136BB">
      <w:pPr>
        <w:pStyle w:val="Heading1"/>
      </w:pPr>
      <w:bookmarkStart w:id="7" w:name="_Toc15305476"/>
      <w:r>
        <w:t>I</w:t>
      </w:r>
      <w:r w:rsidR="00873317">
        <w:t>mplementation</w:t>
      </w:r>
      <w:r w:rsidR="003050CA">
        <w:t xml:space="preserve"> of selected projects</w:t>
      </w:r>
      <w:bookmarkEnd w:id="7"/>
    </w:p>
    <w:p w14:paraId="41817FF7" w14:textId="1FE01638" w:rsidR="00E05DCE" w:rsidRDefault="006F1691" w:rsidP="006136BB">
      <w:pPr>
        <w:spacing w:line="240" w:lineRule="auto"/>
        <w:jc w:val="both"/>
        <w:rPr>
          <w:rFonts w:ascii="Calibri" w:hAnsi="Calibri"/>
          <w:sz w:val="22"/>
        </w:rPr>
      </w:pPr>
      <w:r>
        <w:rPr>
          <w:rFonts w:ascii="Calibri" w:hAnsi="Calibri"/>
          <w:sz w:val="22"/>
        </w:rPr>
        <w:t>T</w:t>
      </w:r>
      <w:r w:rsidRPr="00A053D4">
        <w:rPr>
          <w:rFonts w:ascii="Calibri" w:hAnsi="Calibri"/>
          <w:sz w:val="22"/>
        </w:rPr>
        <w:t xml:space="preserve">he </w:t>
      </w:r>
      <w:r w:rsidR="00C44E64">
        <w:rPr>
          <w:rFonts w:ascii="Calibri" w:hAnsi="Calibri"/>
          <w:sz w:val="22"/>
          <w:szCs w:val="22"/>
        </w:rPr>
        <w:t>offices of the participating UN organizations</w:t>
      </w:r>
      <w:r w:rsidRPr="005C2219">
        <w:rPr>
          <w:rFonts w:ascii="Calibri" w:hAnsi="Calibri"/>
          <w:sz w:val="22"/>
          <w:lang w:val="en-GB"/>
        </w:rPr>
        <w:t xml:space="preserve"> </w:t>
      </w:r>
      <w:r w:rsidR="005C2219" w:rsidRPr="005C2219">
        <w:rPr>
          <w:rFonts w:ascii="Calibri" w:hAnsi="Calibri"/>
          <w:sz w:val="22"/>
          <w:lang w:val="en-GB"/>
        </w:rPr>
        <w:t xml:space="preserve">will be directly responsible for meeting delivery rates and achieving the planned results of their proposed </w:t>
      </w:r>
      <w:r w:rsidR="005C2219">
        <w:rPr>
          <w:rFonts w:ascii="Calibri" w:hAnsi="Calibri"/>
          <w:sz w:val="22"/>
          <w:lang w:val="en-GB"/>
        </w:rPr>
        <w:t>projects.</w:t>
      </w:r>
      <w:r w:rsidR="005C2219" w:rsidRPr="005C2219">
        <w:rPr>
          <w:rFonts w:ascii="Calibri" w:hAnsi="Calibri"/>
          <w:sz w:val="22"/>
        </w:rPr>
        <w:t xml:space="preserve"> </w:t>
      </w:r>
      <w:r w:rsidR="00873317">
        <w:rPr>
          <w:rFonts w:ascii="Calibri" w:hAnsi="Calibri"/>
          <w:sz w:val="22"/>
        </w:rPr>
        <w:t xml:space="preserve">Projects </w:t>
      </w:r>
      <w:r w:rsidR="00F5226B">
        <w:rPr>
          <w:rFonts w:ascii="Calibri" w:hAnsi="Calibri"/>
          <w:sz w:val="22"/>
        </w:rPr>
        <w:t>will</w:t>
      </w:r>
      <w:r w:rsidR="00873317">
        <w:rPr>
          <w:rFonts w:ascii="Calibri" w:hAnsi="Calibri"/>
          <w:sz w:val="22"/>
        </w:rPr>
        <w:t xml:space="preserve"> be implemented </w:t>
      </w:r>
      <w:r w:rsidR="00873317" w:rsidRPr="00873317">
        <w:rPr>
          <w:rFonts w:ascii="Calibri" w:hAnsi="Calibri"/>
          <w:sz w:val="22"/>
          <w:lang w:val="en-GB"/>
        </w:rPr>
        <w:t xml:space="preserve">in close partnership with the </w:t>
      </w:r>
      <w:r w:rsidR="008B28DE">
        <w:rPr>
          <w:rFonts w:ascii="Calibri" w:hAnsi="Calibri"/>
          <w:sz w:val="22"/>
          <w:lang w:val="en-GB"/>
        </w:rPr>
        <w:t>Government partners</w:t>
      </w:r>
      <w:r w:rsidR="00873317" w:rsidRPr="00873317">
        <w:rPr>
          <w:rFonts w:ascii="Calibri" w:hAnsi="Calibri"/>
          <w:sz w:val="22"/>
          <w:lang w:val="en-GB"/>
        </w:rPr>
        <w:t xml:space="preserve"> to ensure </w:t>
      </w:r>
      <w:r w:rsidR="008B28DE" w:rsidRPr="005D4B81">
        <w:rPr>
          <w:rFonts w:ascii="Calibri" w:hAnsi="Calibri"/>
          <w:sz w:val="22"/>
          <w:lang w:val="en-GB"/>
        </w:rPr>
        <w:t>their full participation in the projects’ activities</w:t>
      </w:r>
      <w:r w:rsidR="00D15554">
        <w:rPr>
          <w:rFonts w:ascii="Calibri" w:hAnsi="Calibri"/>
          <w:sz w:val="22"/>
          <w:lang w:val="en-GB"/>
        </w:rPr>
        <w:t>,</w:t>
      </w:r>
      <w:r w:rsidR="008B28DE" w:rsidRPr="005D4B81">
        <w:rPr>
          <w:rFonts w:ascii="Calibri" w:hAnsi="Calibri"/>
          <w:sz w:val="22"/>
          <w:lang w:val="en-GB"/>
        </w:rPr>
        <w:t xml:space="preserve"> commitment to </w:t>
      </w:r>
      <w:r w:rsidR="005B25E3">
        <w:rPr>
          <w:rFonts w:ascii="Calibri" w:hAnsi="Calibri"/>
          <w:sz w:val="22"/>
          <w:lang w:val="en-GB"/>
        </w:rPr>
        <w:t xml:space="preserve">achieving </w:t>
      </w:r>
      <w:r w:rsidR="008B28DE" w:rsidRPr="005D4B81">
        <w:rPr>
          <w:rFonts w:ascii="Calibri" w:hAnsi="Calibri"/>
          <w:sz w:val="22"/>
          <w:lang w:val="en-GB"/>
        </w:rPr>
        <w:t>project</w:t>
      </w:r>
      <w:r w:rsidR="005B25E3">
        <w:rPr>
          <w:rFonts w:ascii="Calibri" w:hAnsi="Calibri"/>
          <w:sz w:val="22"/>
          <w:lang w:val="en-GB"/>
        </w:rPr>
        <w:t xml:space="preserve"> </w:t>
      </w:r>
      <w:r w:rsidR="008B28DE" w:rsidRPr="005D4B81">
        <w:rPr>
          <w:rFonts w:ascii="Calibri" w:hAnsi="Calibri"/>
          <w:sz w:val="22"/>
          <w:lang w:val="en-GB"/>
        </w:rPr>
        <w:t>results</w:t>
      </w:r>
      <w:r w:rsidR="00D15554">
        <w:rPr>
          <w:rFonts w:ascii="Calibri" w:hAnsi="Calibri"/>
          <w:sz w:val="22"/>
          <w:lang w:val="en-GB"/>
        </w:rPr>
        <w:t xml:space="preserve"> and their sustainability</w:t>
      </w:r>
      <w:r w:rsidR="00873317" w:rsidRPr="00873317">
        <w:rPr>
          <w:rFonts w:ascii="Calibri" w:hAnsi="Calibri"/>
          <w:sz w:val="22"/>
          <w:lang w:val="en-GB"/>
        </w:rPr>
        <w:t>.</w:t>
      </w:r>
      <w:r w:rsidR="003050CA" w:rsidRPr="003050CA">
        <w:rPr>
          <w:rFonts w:ascii="Calibri" w:hAnsi="Calibri"/>
          <w:sz w:val="22"/>
        </w:rPr>
        <w:t xml:space="preserve"> </w:t>
      </w:r>
      <w:r>
        <w:rPr>
          <w:rFonts w:ascii="Calibri" w:hAnsi="Calibri"/>
          <w:sz w:val="22"/>
        </w:rPr>
        <w:t xml:space="preserve"> </w:t>
      </w:r>
      <w:r w:rsidR="00444B49">
        <w:rPr>
          <w:rFonts w:ascii="Calibri" w:hAnsi="Calibri"/>
          <w:sz w:val="22"/>
        </w:rPr>
        <w:t xml:space="preserve">For more information on the implementation of projects, please refer to the Operational Manual. </w:t>
      </w:r>
    </w:p>
    <w:p w14:paraId="0E82A9F8" w14:textId="77777777" w:rsidR="00873317" w:rsidRDefault="00873317" w:rsidP="006136BB">
      <w:pPr>
        <w:pStyle w:val="Heading2"/>
        <w:numPr>
          <w:ilvl w:val="0"/>
          <w:numId w:val="22"/>
        </w:numPr>
      </w:pPr>
      <w:bookmarkStart w:id="8" w:name="_Toc15305477"/>
      <w:r>
        <w:t xml:space="preserve">Financial </w:t>
      </w:r>
      <w:r w:rsidR="005B25E3">
        <w:t xml:space="preserve">management and project </w:t>
      </w:r>
      <w:r>
        <w:t>implementation</w:t>
      </w:r>
      <w:bookmarkEnd w:id="8"/>
    </w:p>
    <w:p w14:paraId="0E82A9F9" w14:textId="38D6180A" w:rsidR="00873317" w:rsidRPr="00954A02" w:rsidRDefault="006C4BC8" w:rsidP="006136BB">
      <w:pPr>
        <w:spacing w:line="240" w:lineRule="auto"/>
        <w:jc w:val="both"/>
        <w:rPr>
          <w:rFonts w:ascii="Calibri" w:hAnsi="Calibri"/>
          <w:sz w:val="22"/>
        </w:rPr>
      </w:pPr>
      <w:r w:rsidRPr="006C4BC8">
        <w:rPr>
          <w:rFonts w:ascii="Calibri" w:hAnsi="Calibri"/>
          <w:sz w:val="22"/>
        </w:rPr>
        <w:t xml:space="preserve">The MPTF Office, in its capacity of the Administrative Agent, will disburse the funds to </w:t>
      </w:r>
      <w:r w:rsidR="00C44E64">
        <w:rPr>
          <w:rFonts w:ascii="Calibri" w:hAnsi="Calibri"/>
          <w:sz w:val="22"/>
        </w:rPr>
        <w:t xml:space="preserve">the </w:t>
      </w:r>
      <w:r w:rsidR="00C44E64">
        <w:rPr>
          <w:rFonts w:ascii="Calibri" w:hAnsi="Calibri"/>
          <w:sz w:val="22"/>
          <w:szCs w:val="22"/>
        </w:rPr>
        <w:t>offices of the participating UN organizations</w:t>
      </w:r>
      <w:r w:rsidRPr="006C4BC8">
        <w:rPr>
          <w:rFonts w:ascii="Calibri" w:hAnsi="Calibri"/>
          <w:sz w:val="22"/>
        </w:rPr>
        <w:t xml:space="preserve"> in accordance with the decisions of the Steering Committee. </w:t>
      </w:r>
      <w:r>
        <w:rPr>
          <w:rFonts w:ascii="Calibri" w:hAnsi="Calibri"/>
          <w:sz w:val="22"/>
        </w:rPr>
        <w:t>T</w:t>
      </w:r>
      <w:r w:rsidRPr="00A053D4">
        <w:rPr>
          <w:rFonts w:ascii="Calibri" w:hAnsi="Calibri"/>
          <w:sz w:val="22"/>
        </w:rPr>
        <w:t xml:space="preserve">he </w:t>
      </w:r>
      <w:r w:rsidR="00C44E64">
        <w:rPr>
          <w:rFonts w:ascii="Calibri" w:hAnsi="Calibri"/>
          <w:sz w:val="22"/>
          <w:szCs w:val="22"/>
        </w:rPr>
        <w:t>offices of the participating UN organizations</w:t>
      </w:r>
      <w:r w:rsidR="00C44E64" w:rsidRPr="003B2FB5" w:rsidDel="00C44E64">
        <w:rPr>
          <w:rFonts w:ascii="Calibri" w:hAnsi="Calibri"/>
          <w:sz w:val="22"/>
          <w:lang w:val="en-GB"/>
        </w:rPr>
        <w:t xml:space="preserve"> </w:t>
      </w:r>
      <w:r w:rsidR="00F5226B">
        <w:rPr>
          <w:rFonts w:ascii="Calibri" w:hAnsi="Calibri"/>
          <w:sz w:val="22"/>
        </w:rPr>
        <w:t>will</w:t>
      </w:r>
      <w:r w:rsidR="007758DE">
        <w:rPr>
          <w:rFonts w:ascii="Calibri" w:hAnsi="Calibri"/>
          <w:sz w:val="22"/>
        </w:rPr>
        <w:t xml:space="preserve"> ensure the </w:t>
      </w:r>
      <w:r w:rsidR="007758DE" w:rsidRPr="006C4BC8">
        <w:rPr>
          <w:rFonts w:ascii="Calibri" w:hAnsi="Calibri"/>
          <w:sz w:val="22"/>
        </w:rPr>
        <w:t>efficient delivery</w:t>
      </w:r>
      <w:r w:rsidR="007758DE" w:rsidRPr="00873317">
        <w:rPr>
          <w:rFonts w:ascii="Calibri" w:hAnsi="Calibri"/>
          <w:sz w:val="22"/>
          <w:lang w:val="en-GB"/>
        </w:rPr>
        <w:t xml:space="preserve"> of the projects’ financial resources, according to </w:t>
      </w:r>
      <w:r w:rsidR="0080427D">
        <w:rPr>
          <w:rFonts w:ascii="Calibri" w:hAnsi="Calibri"/>
          <w:sz w:val="22"/>
          <w:lang w:val="en-GB"/>
        </w:rPr>
        <w:t xml:space="preserve">respective internal control </w:t>
      </w:r>
      <w:r w:rsidR="0080427D" w:rsidRPr="00954A02">
        <w:rPr>
          <w:rFonts w:ascii="Calibri" w:hAnsi="Calibri"/>
          <w:sz w:val="22"/>
        </w:rPr>
        <w:t xml:space="preserve">frameworks and procedures in line with </w:t>
      </w:r>
      <w:r w:rsidRPr="00954A02">
        <w:rPr>
          <w:rFonts w:ascii="Calibri" w:hAnsi="Calibri"/>
          <w:sz w:val="22"/>
        </w:rPr>
        <w:t>their own</w:t>
      </w:r>
      <w:r w:rsidR="007758DE" w:rsidRPr="00954A02">
        <w:rPr>
          <w:rFonts w:ascii="Calibri" w:hAnsi="Calibri"/>
          <w:sz w:val="22"/>
        </w:rPr>
        <w:t xml:space="preserve"> rules and regulations.</w:t>
      </w:r>
    </w:p>
    <w:p w14:paraId="0E82A9FA" w14:textId="597FB0E0" w:rsidR="00954A02" w:rsidRPr="006A4FDD" w:rsidRDefault="00954A02" w:rsidP="006136BB">
      <w:pPr>
        <w:spacing w:line="240" w:lineRule="auto"/>
        <w:jc w:val="both"/>
        <w:rPr>
          <w:rFonts w:ascii="Calibri" w:hAnsi="Calibri"/>
          <w:sz w:val="22"/>
        </w:rPr>
      </w:pPr>
      <w:r w:rsidRPr="00954A02">
        <w:rPr>
          <w:rFonts w:ascii="Calibri" w:hAnsi="Calibri"/>
          <w:sz w:val="22"/>
        </w:rPr>
        <w:lastRenderedPageBreak/>
        <w:t>When funds are transferred to a</w:t>
      </w:r>
      <w:r w:rsidR="00C44E64">
        <w:rPr>
          <w:rFonts w:ascii="Calibri" w:hAnsi="Calibri"/>
          <w:sz w:val="22"/>
        </w:rPr>
        <w:t>n</w:t>
      </w:r>
      <w:r w:rsidRPr="00954A02">
        <w:rPr>
          <w:rFonts w:ascii="Calibri" w:hAnsi="Calibri"/>
          <w:sz w:val="22"/>
        </w:rPr>
        <w:t xml:space="preserve"> </w:t>
      </w:r>
      <w:r w:rsidR="00C44E64">
        <w:rPr>
          <w:rFonts w:ascii="Calibri" w:hAnsi="Calibri"/>
          <w:sz w:val="22"/>
          <w:szCs w:val="22"/>
        </w:rPr>
        <w:t>office of a participating UN organization</w:t>
      </w:r>
      <w:r w:rsidRPr="00954A02">
        <w:rPr>
          <w:rFonts w:ascii="Calibri" w:hAnsi="Calibri"/>
          <w:sz w:val="22"/>
        </w:rPr>
        <w:t>, it must create a separate ledger account, in accordance with its procedures and financial regulations, for the receipt and administration of funds released from the Fund account by the Administrative Agent. This ledger account shall be administered by the organization in accordance with its own rules and procedures. Indirect costs of the Participating UN Organizations recovered thro</w:t>
      </w:r>
      <w:r w:rsidR="00444B49">
        <w:rPr>
          <w:rFonts w:ascii="Calibri" w:hAnsi="Calibri"/>
          <w:sz w:val="22"/>
        </w:rPr>
        <w:t>ugh programme support costs will be maximum seven percent (7%). Im</w:t>
      </w:r>
      <w:r w:rsidRPr="00954A02">
        <w:rPr>
          <w:rFonts w:ascii="Calibri" w:hAnsi="Calibri"/>
          <w:sz w:val="22"/>
        </w:rPr>
        <w:t xml:space="preserve">plementing Partners, consisting of </w:t>
      </w:r>
      <w:r w:rsidRPr="006A4FDD">
        <w:rPr>
          <w:rFonts w:ascii="Calibri" w:hAnsi="Calibri"/>
          <w:sz w:val="22"/>
        </w:rPr>
        <w:t xml:space="preserve">Government institutions and NGOs can receive funding from the Fund through Participating UN Organizations. </w:t>
      </w:r>
    </w:p>
    <w:p w14:paraId="45F58238" w14:textId="42551FF2" w:rsidR="007918E8" w:rsidRPr="007918E8" w:rsidRDefault="007758DE" w:rsidP="007918E8">
      <w:pPr>
        <w:pStyle w:val="Heading2"/>
      </w:pPr>
      <w:bookmarkStart w:id="9" w:name="_Toc15305478"/>
      <w:r w:rsidRPr="006A4FDD">
        <w:t>Monitoring and reporting</w:t>
      </w:r>
      <w:bookmarkEnd w:id="9"/>
    </w:p>
    <w:p w14:paraId="498577DA" w14:textId="250F06A7" w:rsidR="007918E8" w:rsidRDefault="007918E8" w:rsidP="007918E8">
      <w:pPr>
        <w:tabs>
          <w:tab w:val="num" w:pos="1260"/>
        </w:tabs>
        <w:spacing w:line="240" w:lineRule="auto"/>
        <w:contextualSpacing/>
        <w:jc w:val="both"/>
        <w:rPr>
          <w:rFonts w:ascii="Calibri" w:hAnsi="Calibri"/>
          <w:sz w:val="22"/>
        </w:rPr>
      </w:pPr>
      <w:r w:rsidRPr="007918E8">
        <w:rPr>
          <w:rFonts w:ascii="Calibri" w:hAnsi="Calibri"/>
          <w:sz w:val="22"/>
        </w:rPr>
        <w:t xml:space="preserve">For each project approved for financing from the Fund, each </w:t>
      </w:r>
      <w:r w:rsidR="00C44E64">
        <w:rPr>
          <w:rFonts w:ascii="Calibri" w:hAnsi="Calibri"/>
          <w:sz w:val="22"/>
          <w:szCs w:val="22"/>
        </w:rPr>
        <w:t>office of the participating UN organizations</w:t>
      </w:r>
      <w:r w:rsidR="00C44E64" w:rsidRPr="007918E8" w:rsidDel="00C44E64">
        <w:rPr>
          <w:rFonts w:ascii="Calibri" w:hAnsi="Calibri"/>
          <w:sz w:val="22"/>
        </w:rPr>
        <w:t xml:space="preserve"> </w:t>
      </w:r>
      <w:r w:rsidRPr="007918E8">
        <w:rPr>
          <w:rFonts w:ascii="Calibri" w:hAnsi="Calibri"/>
          <w:sz w:val="22"/>
        </w:rPr>
        <w:t xml:space="preserve">must provide the Secretariat with the quarterly, annual and final narrative (including visibility) and financial reports, as per Chapter 7 - </w:t>
      </w:r>
      <w:bookmarkStart w:id="10" w:name="_Toc7021600"/>
      <w:r w:rsidRPr="007918E8">
        <w:rPr>
          <w:rFonts w:ascii="Calibri" w:hAnsi="Calibri"/>
          <w:sz w:val="22"/>
        </w:rPr>
        <w:t>Monitoring, evaluation and reporting</w:t>
      </w:r>
      <w:bookmarkEnd w:id="10"/>
      <w:r w:rsidRPr="007918E8">
        <w:rPr>
          <w:rFonts w:ascii="Calibri" w:hAnsi="Calibri"/>
          <w:sz w:val="22"/>
        </w:rPr>
        <w:t xml:space="preserve"> of the Operational Manual.</w:t>
      </w:r>
    </w:p>
    <w:p w14:paraId="0FC4B32B" w14:textId="77777777" w:rsidR="007918E8" w:rsidRPr="007918E8" w:rsidRDefault="007918E8" w:rsidP="007918E8">
      <w:pPr>
        <w:tabs>
          <w:tab w:val="num" w:pos="1260"/>
        </w:tabs>
        <w:spacing w:line="240" w:lineRule="auto"/>
        <w:contextualSpacing/>
        <w:jc w:val="both"/>
        <w:rPr>
          <w:rFonts w:ascii="Calibri" w:hAnsi="Calibri"/>
          <w:sz w:val="22"/>
        </w:rPr>
      </w:pPr>
    </w:p>
    <w:p w14:paraId="0E82A9FE" w14:textId="77777777" w:rsidR="00AA0D03" w:rsidRPr="00AA0D03" w:rsidRDefault="00AA0D03" w:rsidP="001F1F6D">
      <w:pPr>
        <w:tabs>
          <w:tab w:val="num" w:pos="1260"/>
        </w:tabs>
        <w:spacing w:line="240" w:lineRule="auto"/>
        <w:contextualSpacing/>
        <w:jc w:val="both"/>
        <w:rPr>
          <w:rFonts w:ascii="Calibri" w:hAnsi="Calibri"/>
          <w:sz w:val="22"/>
          <w:u w:val="single"/>
        </w:rPr>
      </w:pPr>
      <w:r w:rsidRPr="00AA0D03">
        <w:rPr>
          <w:rFonts w:ascii="Calibri" w:hAnsi="Calibri"/>
          <w:sz w:val="22"/>
          <w:u w:val="single"/>
        </w:rPr>
        <w:t>Narrative reports:</w:t>
      </w:r>
    </w:p>
    <w:p w14:paraId="0E82A9FF" w14:textId="4C7EFE06" w:rsidR="001F1F6D" w:rsidRPr="001F1F6D" w:rsidRDefault="001F1F6D" w:rsidP="001F1F6D">
      <w:pPr>
        <w:tabs>
          <w:tab w:val="num" w:pos="1260"/>
        </w:tabs>
        <w:spacing w:line="240" w:lineRule="auto"/>
        <w:contextualSpacing/>
        <w:jc w:val="both"/>
        <w:rPr>
          <w:rFonts w:ascii="Calibri" w:hAnsi="Calibri"/>
          <w:sz w:val="22"/>
        </w:rPr>
      </w:pPr>
      <w:r w:rsidRPr="001F1F6D">
        <w:rPr>
          <w:rFonts w:ascii="Calibri" w:hAnsi="Calibri"/>
          <w:sz w:val="22"/>
        </w:rPr>
        <w:t xml:space="preserve">For each project approved for financing, each </w:t>
      </w:r>
      <w:r w:rsidR="00C44E64">
        <w:rPr>
          <w:rFonts w:ascii="Calibri" w:hAnsi="Calibri"/>
          <w:sz w:val="22"/>
          <w:szCs w:val="22"/>
        </w:rPr>
        <w:t>office of the participating UN organizations</w:t>
      </w:r>
      <w:r w:rsidR="00C44E64" w:rsidRPr="007918E8" w:rsidDel="00C44E64">
        <w:rPr>
          <w:rFonts w:ascii="Calibri" w:hAnsi="Calibri"/>
          <w:sz w:val="22"/>
        </w:rPr>
        <w:t xml:space="preserve"> </w:t>
      </w:r>
      <w:r w:rsidRPr="001F1F6D">
        <w:rPr>
          <w:rFonts w:ascii="Calibri" w:hAnsi="Calibri"/>
          <w:sz w:val="22"/>
        </w:rPr>
        <w:t>must provide the Secretariat with the following narrative reports:</w:t>
      </w:r>
    </w:p>
    <w:p w14:paraId="0E82AA00" w14:textId="77777777" w:rsidR="001F1F6D" w:rsidRPr="001F1F6D" w:rsidRDefault="001F1F6D" w:rsidP="001F1F6D">
      <w:pPr>
        <w:numPr>
          <w:ilvl w:val="0"/>
          <w:numId w:val="40"/>
        </w:numPr>
        <w:tabs>
          <w:tab w:val="clear" w:pos="1800"/>
        </w:tabs>
        <w:spacing w:after="0" w:line="240" w:lineRule="auto"/>
        <w:ind w:left="720"/>
        <w:contextualSpacing/>
        <w:jc w:val="both"/>
        <w:rPr>
          <w:rFonts w:ascii="Calibri" w:hAnsi="Calibri"/>
          <w:sz w:val="22"/>
        </w:rPr>
      </w:pPr>
      <w:r w:rsidRPr="001F1F6D">
        <w:rPr>
          <w:rFonts w:ascii="Calibri" w:hAnsi="Calibri"/>
          <w:sz w:val="22"/>
        </w:rPr>
        <w:t xml:space="preserve">Quarterly progress reports, to be provided within a maximum of one month after the end of the quarter; </w:t>
      </w:r>
    </w:p>
    <w:p w14:paraId="0E82AA01" w14:textId="77777777" w:rsidR="001F1F6D" w:rsidRPr="001F1F6D" w:rsidRDefault="001F1F6D" w:rsidP="001F1F6D">
      <w:pPr>
        <w:numPr>
          <w:ilvl w:val="0"/>
          <w:numId w:val="40"/>
        </w:numPr>
        <w:tabs>
          <w:tab w:val="clear" w:pos="1800"/>
        </w:tabs>
        <w:spacing w:after="0" w:line="240" w:lineRule="auto"/>
        <w:ind w:left="720"/>
        <w:contextualSpacing/>
        <w:jc w:val="both"/>
        <w:rPr>
          <w:rFonts w:ascii="Calibri" w:hAnsi="Calibri"/>
          <w:sz w:val="22"/>
        </w:rPr>
      </w:pPr>
      <w:r w:rsidRPr="001F1F6D">
        <w:rPr>
          <w:rFonts w:ascii="Calibri" w:hAnsi="Calibri"/>
          <w:sz w:val="22"/>
        </w:rPr>
        <w:t>Annual progress reports, to be provided within a maximum of three months after the end of the calendar year (i.e. by 31 March of the following year);</w:t>
      </w:r>
    </w:p>
    <w:p w14:paraId="0E82AA02" w14:textId="77777777" w:rsidR="001F1F6D" w:rsidRPr="001F1F6D" w:rsidRDefault="001F1F6D" w:rsidP="001F1F6D">
      <w:pPr>
        <w:numPr>
          <w:ilvl w:val="0"/>
          <w:numId w:val="40"/>
        </w:numPr>
        <w:tabs>
          <w:tab w:val="clear" w:pos="1800"/>
        </w:tabs>
        <w:spacing w:after="0" w:line="240" w:lineRule="auto"/>
        <w:ind w:left="720"/>
        <w:contextualSpacing/>
        <w:jc w:val="both"/>
        <w:rPr>
          <w:rFonts w:ascii="Calibri" w:hAnsi="Calibri"/>
          <w:sz w:val="22"/>
        </w:rPr>
      </w:pPr>
      <w:r w:rsidRPr="001F1F6D">
        <w:rPr>
          <w:rFonts w:ascii="Calibri" w:hAnsi="Calibri"/>
          <w:sz w:val="22"/>
        </w:rPr>
        <w:t>A final narrative report at the end of the Project's activities, to be provided within a maximum of three months after the end of the final year, following the operational closure of the Project. The final report provides a summary of the results and achievements compared with the Project’s targets and objectives;</w:t>
      </w:r>
    </w:p>
    <w:p w14:paraId="0E82AA03" w14:textId="3EE3FF5A" w:rsidR="001F1F6D" w:rsidRPr="001F1F6D" w:rsidRDefault="001F1F6D" w:rsidP="001F1F6D">
      <w:pPr>
        <w:numPr>
          <w:ilvl w:val="0"/>
          <w:numId w:val="40"/>
        </w:numPr>
        <w:tabs>
          <w:tab w:val="clear" w:pos="1800"/>
        </w:tabs>
        <w:spacing w:after="0" w:line="240" w:lineRule="auto"/>
        <w:ind w:left="720"/>
        <w:contextualSpacing/>
        <w:jc w:val="both"/>
        <w:rPr>
          <w:rFonts w:ascii="Calibri" w:hAnsi="Calibri"/>
          <w:sz w:val="22"/>
        </w:rPr>
      </w:pPr>
      <w:r w:rsidRPr="001F1F6D">
        <w:rPr>
          <w:rFonts w:ascii="Calibri" w:hAnsi="Calibri"/>
          <w:sz w:val="22"/>
        </w:rPr>
        <w:t xml:space="preserve">Additional progress reports may be requested to </w:t>
      </w:r>
      <w:r w:rsidR="00C44E64">
        <w:rPr>
          <w:rFonts w:ascii="Calibri" w:hAnsi="Calibri"/>
          <w:sz w:val="22"/>
        </w:rPr>
        <w:t xml:space="preserve">the </w:t>
      </w:r>
      <w:r w:rsidR="00C44E64">
        <w:rPr>
          <w:rFonts w:ascii="Calibri" w:hAnsi="Calibri"/>
          <w:sz w:val="22"/>
          <w:szCs w:val="22"/>
        </w:rPr>
        <w:t>offices of the participating UN organizations</w:t>
      </w:r>
      <w:r w:rsidR="00C44E64" w:rsidRPr="007918E8" w:rsidDel="00C44E64">
        <w:rPr>
          <w:rFonts w:ascii="Calibri" w:hAnsi="Calibri"/>
          <w:sz w:val="22"/>
        </w:rPr>
        <w:t xml:space="preserve"> </w:t>
      </w:r>
      <w:r w:rsidRPr="001F1F6D">
        <w:rPr>
          <w:rFonts w:ascii="Calibri" w:hAnsi="Calibri"/>
          <w:sz w:val="22"/>
        </w:rPr>
        <w:t xml:space="preserve">based on the decision by the Steering Committee. </w:t>
      </w:r>
    </w:p>
    <w:p w14:paraId="0E82AA04" w14:textId="77777777" w:rsidR="001F1F6D" w:rsidRDefault="001F1F6D" w:rsidP="001F1F6D">
      <w:pPr>
        <w:spacing w:after="0" w:line="240" w:lineRule="auto"/>
        <w:contextualSpacing/>
        <w:jc w:val="both"/>
        <w:rPr>
          <w:rFonts w:ascii="Calibri" w:hAnsi="Calibri"/>
          <w:sz w:val="22"/>
        </w:rPr>
      </w:pPr>
    </w:p>
    <w:p w14:paraId="0E82AA05" w14:textId="4BC7EAFF" w:rsidR="001F1F6D" w:rsidRPr="001F1F6D" w:rsidRDefault="001F1F6D" w:rsidP="001F1F6D">
      <w:pPr>
        <w:spacing w:after="0" w:line="240" w:lineRule="auto"/>
        <w:contextualSpacing/>
        <w:jc w:val="both"/>
        <w:rPr>
          <w:rFonts w:ascii="Calibri" w:hAnsi="Calibri"/>
          <w:sz w:val="22"/>
        </w:rPr>
      </w:pPr>
      <w:r w:rsidRPr="001F1F6D">
        <w:rPr>
          <w:rFonts w:ascii="Calibri" w:hAnsi="Calibri"/>
          <w:sz w:val="22"/>
        </w:rPr>
        <w:t xml:space="preserve">The reports of </w:t>
      </w:r>
      <w:r w:rsidR="00C44E64">
        <w:rPr>
          <w:rFonts w:ascii="Calibri" w:hAnsi="Calibri"/>
          <w:sz w:val="22"/>
        </w:rPr>
        <w:t xml:space="preserve">the </w:t>
      </w:r>
      <w:r w:rsidR="00C44E64">
        <w:rPr>
          <w:rFonts w:ascii="Calibri" w:hAnsi="Calibri"/>
          <w:sz w:val="22"/>
          <w:szCs w:val="22"/>
        </w:rPr>
        <w:t>offices of the participating UN organizations</w:t>
      </w:r>
      <w:r w:rsidR="00C44E64" w:rsidRPr="007918E8" w:rsidDel="00C44E64">
        <w:rPr>
          <w:rFonts w:ascii="Calibri" w:hAnsi="Calibri"/>
          <w:sz w:val="22"/>
        </w:rPr>
        <w:t xml:space="preserve"> </w:t>
      </w:r>
      <w:r w:rsidRPr="001F1F6D">
        <w:rPr>
          <w:rFonts w:ascii="Calibri" w:hAnsi="Calibri"/>
          <w:sz w:val="22"/>
        </w:rPr>
        <w:t>will include:</w:t>
      </w:r>
    </w:p>
    <w:p w14:paraId="0E82AA06" w14:textId="77777777"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Summary of progress achieved;</w:t>
      </w:r>
    </w:p>
    <w:p w14:paraId="0E82AA07" w14:textId="77777777"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Actual results: an updated table based on a logical framework matrix as measured by indicators, agreed baselines and targets, and relevant data sources;</w:t>
      </w:r>
    </w:p>
    <w:p w14:paraId="0E82AA08" w14:textId="77777777"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Activities implemented in the reporting period;</w:t>
      </w:r>
    </w:p>
    <w:p w14:paraId="0E82AA09" w14:textId="5B295F3F"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 xml:space="preserve">Information on the </w:t>
      </w:r>
      <w:r w:rsidR="00EA3931">
        <w:rPr>
          <w:rFonts w:ascii="Calibri" w:hAnsi="Calibri"/>
          <w:sz w:val="22"/>
        </w:rPr>
        <w:t xml:space="preserve">risks and </w:t>
      </w:r>
      <w:r w:rsidRPr="001F1F6D">
        <w:rPr>
          <w:rFonts w:ascii="Calibri" w:hAnsi="Calibri"/>
          <w:sz w:val="22"/>
        </w:rPr>
        <w:t xml:space="preserve">difficulties encountered and measures taken to </w:t>
      </w:r>
      <w:r w:rsidR="00EA3931">
        <w:rPr>
          <w:rFonts w:ascii="Calibri" w:hAnsi="Calibri"/>
          <w:sz w:val="22"/>
        </w:rPr>
        <w:t xml:space="preserve">mitigate risks, </w:t>
      </w:r>
      <w:r w:rsidRPr="001F1F6D">
        <w:rPr>
          <w:rFonts w:ascii="Calibri" w:hAnsi="Calibri"/>
          <w:sz w:val="22"/>
        </w:rPr>
        <w:t xml:space="preserve">overcome problems and eventual changes introduced; </w:t>
      </w:r>
    </w:p>
    <w:p w14:paraId="0E82AA0A" w14:textId="77777777"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Information on the implementation of Visibility and Communications plans;</w:t>
      </w:r>
    </w:p>
    <w:p w14:paraId="0E82AA0B" w14:textId="4F8F2788"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 xml:space="preserve">Information on costs incurred as well as legal commitment entered in to by the </w:t>
      </w:r>
      <w:r w:rsidR="00C44E64">
        <w:rPr>
          <w:rFonts w:ascii="Calibri" w:hAnsi="Calibri"/>
          <w:sz w:val="22"/>
        </w:rPr>
        <w:t>office</w:t>
      </w:r>
      <w:r w:rsidR="00C44E64" w:rsidRPr="001F1F6D">
        <w:rPr>
          <w:rFonts w:ascii="Calibri" w:hAnsi="Calibri"/>
          <w:sz w:val="22"/>
        </w:rPr>
        <w:t xml:space="preserve"> </w:t>
      </w:r>
      <w:r w:rsidRPr="001F1F6D">
        <w:rPr>
          <w:rFonts w:ascii="Calibri" w:hAnsi="Calibri"/>
          <w:sz w:val="22"/>
        </w:rPr>
        <w:t>in the reporting period;</w:t>
      </w:r>
    </w:p>
    <w:p w14:paraId="42A255CF" w14:textId="00D87D2F" w:rsidR="00EA3931" w:rsidRDefault="001F1F6D" w:rsidP="00EA3931">
      <w:pPr>
        <w:pStyle w:val="ListParagraph"/>
        <w:numPr>
          <w:ilvl w:val="0"/>
          <w:numId w:val="41"/>
        </w:numPr>
        <w:spacing w:after="0" w:line="240" w:lineRule="auto"/>
        <w:jc w:val="both"/>
        <w:rPr>
          <w:rFonts w:ascii="Calibri" w:hAnsi="Calibri"/>
          <w:sz w:val="22"/>
        </w:rPr>
      </w:pPr>
      <w:r w:rsidRPr="001F1F6D">
        <w:rPr>
          <w:rFonts w:ascii="Calibri" w:hAnsi="Calibri"/>
          <w:sz w:val="22"/>
        </w:rPr>
        <w:t>Financial report in accordance with the Financial Report Template (to be provided)</w:t>
      </w:r>
    </w:p>
    <w:p w14:paraId="0C471412" w14:textId="4E60C644" w:rsidR="00EA3931" w:rsidRPr="00EA3931" w:rsidRDefault="00826E0B" w:rsidP="00EA3931">
      <w:pPr>
        <w:pStyle w:val="ListParagraph"/>
        <w:numPr>
          <w:ilvl w:val="0"/>
          <w:numId w:val="41"/>
        </w:numPr>
        <w:spacing w:after="0" w:line="240" w:lineRule="auto"/>
        <w:jc w:val="both"/>
        <w:rPr>
          <w:rFonts w:ascii="Calibri" w:hAnsi="Calibri"/>
          <w:sz w:val="22"/>
        </w:rPr>
      </w:pPr>
      <w:r>
        <w:rPr>
          <w:rFonts w:ascii="Calibri" w:hAnsi="Calibri"/>
          <w:sz w:val="22"/>
        </w:rPr>
        <w:t>Gender mainstreaming considerations</w:t>
      </w:r>
    </w:p>
    <w:p w14:paraId="0E82AA0D" w14:textId="77777777" w:rsidR="001F1F6D" w:rsidRPr="001F1F6D" w:rsidRDefault="001F1F6D" w:rsidP="001F1F6D">
      <w:pPr>
        <w:pStyle w:val="ListParagraph"/>
        <w:numPr>
          <w:ilvl w:val="0"/>
          <w:numId w:val="41"/>
        </w:numPr>
        <w:spacing w:after="0" w:line="240" w:lineRule="auto"/>
        <w:jc w:val="both"/>
        <w:rPr>
          <w:rFonts w:ascii="Calibri" w:hAnsi="Calibri"/>
          <w:sz w:val="22"/>
        </w:rPr>
      </w:pPr>
      <w:r w:rsidRPr="001F1F6D">
        <w:rPr>
          <w:rFonts w:ascii="Calibri" w:hAnsi="Calibri"/>
          <w:sz w:val="22"/>
        </w:rPr>
        <w:t>Where applicable, a request for payment;</w:t>
      </w:r>
    </w:p>
    <w:p w14:paraId="0E82AA0E" w14:textId="77777777" w:rsidR="001F1F6D" w:rsidRDefault="001F1F6D" w:rsidP="00AA0D03">
      <w:pPr>
        <w:pStyle w:val="ListParagraph"/>
        <w:numPr>
          <w:ilvl w:val="0"/>
          <w:numId w:val="41"/>
        </w:numPr>
        <w:spacing w:after="0" w:line="240" w:lineRule="auto"/>
        <w:jc w:val="both"/>
        <w:rPr>
          <w:rFonts w:ascii="Calibri" w:hAnsi="Calibri"/>
          <w:sz w:val="22"/>
        </w:rPr>
      </w:pPr>
      <w:r w:rsidRPr="001F1F6D">
        <w:rPr>
          <w:rFonts w:ascii="Calibri" w:hAnsi="Calibri"/>
          <w:sz w:val="22"/>
        </w:rPr>
        <w:t>Work plan and forecast budget for the next reporting period.</w:t>
      </w:r>
    </w:p>
    <w:p w14:paraId="0E82AA0F" w14:textId="77777777" w:rsidR="00AA0D03" w:rsidRDefault="00AA0D03" w:rsidP="00AA0D03">
      <w:pPr>
        <w:spacing w:after="0" w:line="240" w:lineRule="auto"/>
        <w:jc w:val="both"/>
        <w:rPr>
          <w:rFonts w:ascii="Calibri" w:hAnsi="Calibri"/>
          <w:sz w:val="22"/>
        </w:rPr>
      </w:pPr>
    </w:p>
    <w:p w14:paraId="0E82AA10" w14:textId="77777777" w:rsidR="00AA0D03" w:rsidRDefault="00AA0D03" w:rsidP="00AA0D03">
      <w:pPr>
        <w:spacing w:after="0" w:line="240" w:lineRule="auto"/>
        <w:jc w:val="both"/>
        <w:rPr>
          <w:rFonts w:ascii="Calibri" w:hAnsi="Calibri"/>
          <w:sz w:val="22"/>
        </w:rPr>
      </w:pPr>
      <w:r w:rsidRPr="006A4FDD">
        <w:rPr>
          <w:rFonts w:ascii="Calibri" w:hAnsi="Calibri"/>
          <w:sz w:val="22"/>
          <w:u w:val="single"/>
        </w:rPr>
        <w:t>Financial reports</w:t>
      </w:r>
      <w:r>
        <w:rPr>
          <w:rFonts w:ascii="Calibri" w:hAnsi="Calibri"/>
          <w:sz w:val="22"/>
        </w:rPr>
        <w:t xml:space="preserve">: </w:t>
      </w:r>
    </w:p>
    <w:p w14:paraId="0E82AA11" w14:textId="41EC5FA7" w:rsidR="006A4FDD" w:rsidRPr="006A4FDD" w:rsidRDefault="006A4FDD" w:rsidP="006A4FDD">
      <w:pPr>
        <w:spacing w:after="0" w:line="240" w:lineRule="auto"/>
        <w:jc w:val="both"/>
        <w:rPr>
          <w:rFonts w:ascii="Calibri" w:hAnsi="Calibri"/>
          <w:sz w:val="22"/>
        </w:rPr>
      </w:pPr>
      <w:r w:rsidRPr="006A4FDD">
        <w:rPr>
          <w:rFonts w:ascii="Calibri" w:hAnsi="Calibri"/>
          <w:sz w:val="22"/>
        </w:rPr>
        <w:t xml:space="preserve">The </w:t>
      </w:r>
      <w:r w:rsidR="00C44E64">
        <w:rPr>
          <w:rFonts w:ascii="Calibri" w:hAnsi="Calibri"/>
          <w:sz w:val="22"/>
          <w:szCs w:val="22"/>
        </w:rPr>
        <w:t>offices of the participating UN organizations</w:t>
      </w:r>
      <w:r w:rsidR="00C44E64" w:rsidRPr="007918E8" w:rsidDel="00C44E64">
        <w:rPr>
          <w:rFonts w:ascii="Calibri" w:hAnsi="Calibri"/>
          <w:sz w:val="22"/>
        </w:rPr>
        <w:t xml:space="preserve"> </w:t>
      </w:r>
      <w:r w:rsidRPr="006A4FDD">
        <w:rPr>
          <w:rFonts w:ascii="Calibri" w:hAnsi="Calibri"/>
          <w:sz w:val="22"/>
        </w:rPr>
        <w:t xml:space="preserve">shall submit quarterly and annual financial reports (as of 31 December) for each project financed by the Fund, in respect to the funds received. The quarterly </w:t>
      </w:r>
      <w:r w:rsidRPr="006A4FDD">
        <w:rPr>
          <w:rFonts w:ascii="Calibri" w:hAnsi="Calibri"/>
          <w:sz w:val="22"/>
        </w:rPr>
        <w:lastRenderedPageBreak/>
        <w:t>financial report should be submitted to the Secretariat one month after the end of the quarter and the annual financial reports to the MPTFO by 30 June.</w:t>
      </w:r>
    </w:p>
    <w:p w14:paraId="0E82AA12" w14:textId="77777777" w:rsidR="00AA0D03" w:rsidRPr="00AA0D03" w:rsidRDefault="00AA0D03" w:rsidP="00AA0D03">
      <w:pPr>
        <w:spacing w:after="0" w:line="240" w:lineRule="auto"/>
        <w:jc w:val="both"/>
        <w:rPr>
          <w:rFonts w:ascii="Calibri" w:hAnsi="Calibri"/>
          <w:sz w:val="22"/>
        </w:rPr>
      </w:pPr>
    </w:p>
    <w:p w14:paraId="0E82AA13" w14:textId="77777777" w:rsidR="003050CA" w:rsidRDefault="00D84D55" w:rsidP="006136BB">
      <w:pPr>
        <w:pStyle w:val="Heading2"/>
        <w:rPr>
          <w:lang w:val="en-GB"/>
        </w:rPr>
      </w:pPr>
      <w:bookmarkStart w:id="11" w:name="_Toc15305479"/>
      <w:r>
        <w:rPr>
          <w:lang w:val="en-GB"/>
        </w:rPr>
        <w:t>Communication and visibility</w:t>
      </w:r>
      <w:bookmarkEnd w:id="11"/>
    </w:p>
    <w:p w14:paraId="0E82AA14" w14:textId="241E5BF1" w:rsidR="006A4FDD" w:rsidRPr="006A4FDD" w:rsidRDefault="006A4FDD" w:rsidP="006A4FDD">
      <w:pPr>
        <w:spacing w:after="0" w:line="240" w:lineRule="auto"/>
        <w:jc w:val="both"/>
        <w:rPr>
          <w:rFonts w:ascii="Calibri" w:hAnsi="Calibri"/>
          <w:sz w:val="22"/>
        </w:rPr>
      </w:pPr>
      <w:r w:rsidRPr="006A4FDD">
        <w:rPr>
          <w:rFonts w:ascii="Calibri" w:hAnsi="Calibri"/>
          <w:sz w:val="22"/>
        </w:rPr>
        <w:t xml:space="preserve">The </w:t>
      </w:r>
      <w:r w:rsidR="00C44E64">
        <w:rPr>
          <w:rFonts w:ascii="Calibri" w:hAnsi="Calibri"/>
          <w:sz w:val="22"/>
          <w:szCs w:val="22"/>
        </w:rPr>
        <w:t>offices of the participating UN organizations</w:t>
      </w:r>
      <w:r w:rsidR="00C44E64" w:rsidRPr="007918E8" w:rsidDel="00C44E64">
        <w:rPr>
          <w:rFonts w:ascii="Calibri" w:hAnsi="Calibri"/>
          <w:sz w:val="22"/>
        </w:rPr>
        <w:t xml:space="preserve"> </w:t>
      </w:r>
      <w:r w:rsidRPr="006A4FDD">
        <w:rPr>
          <w:rFonts w:ascii="Calibri" w:hAnsi="Calibri"/>
          <w:sz w:val="22"/>
        </w:rPr>
        <w:t xml:space="preserve">will take the appropriate measures to ensure the communication of their project results and activities, as well as the visibility of the donors and other partner organizations of the project. </w:t>
      </w:r>
    </w:p>
    <w:p w14:paraId="0E82AA15" w14:textId="77777777" w:rsidR="006A4FDD" w:rsidRPr="006A4FDD" w:rsidRDefault="006A4FDD" w:rsidP="006A4FDD">
      <w:pPr>
        <w:spacing w:after="0" w:line="240" w:lineRule="auto"/>
        <w:jc w:val="both"/>
        <w:rPr>
          <w:rFonts w:ascii="Calibri" w:hAnsi="Calibri"/>
          <w:sz w:val="22"/>
        </w:rPr>
      </w:pPr>
    </w:p>
    <w:p w14:paraId="0E82AA16" w14:textId="2F6F9BCC" w:rsidR="006A4FDD" w:rsidRPr="006A4FDD" w:rsidRDefault="006A4FDD" w:rsidP="006A4FDD">
      <w:pPr>
        <w:spacing w:after="0" w:line="240" w:lineRule="auto"/>
        <w:jc w:val="both"/>
        <w:rPr>
          <w:rFonts w:ascii="Calibri" w:hAnsi="Calibri"/>
          <w:sz w:val="22"/>
        </w:rPr>
      </w:pPr>
      <w:r w:rsidRPr="006A4FDD">
        <w:rPr>
          <w:rFonts w:ascii="Calibri" w:hAnsi="Calibri"/>
          <w:sz w:val="22"/>
        </w:rPr>
        <w:t xml:space="preserve">As part of the project proposal, a brief project visibility plan </w:t>
      </w:r>
      <w:r w:rsidR="00403BEF">
        <w:rPr>
          <w:rFonts w:ascii="Calibri" w:hAnsi="Calibri"/>
          <w:sz w:val="22"/>
        </w:rPr>
        <w:t>is required, with</w:t>
      </w:r>
      <w:r w:rsidRPr="006A4FDD">
        <w:rPr>
          <w:rFonts w:ascii="Calibri" w:hAnsi="Calibri"/>
          <w:sz w:val="22"/>
        </w:rPr>
        <w:t xml:space="preserve"> key visibility and communications materials, </w:t>
      </w:r>
      <w:bookmarkStart w:id="12" w:name="_GoBack"/>
      <w:bookmarkEnd w:id="12"/>
      <w:r w:rsidRPr="006A4FDD">
        <w:rPr>
          <w:rFonts w:ascii="Calibri" w:hAnsi="Calibri"/>
          <w:sz w:val="22"/>
        </w:rPr>
        <w:t xml:space="preserve">key audiences, key messages and expected deliverables throughout project implementation. Implementing organizations will report </w:t>
      </w:r>
      <w:r w:rsidR="00444B49">
        <w:rPr>
          <w:rFonts w:ascii="Calibri" w:hAnsi="Calibri"/>
          <w:sz w:val="22"/>
        </w:rPr>
        <w:t xml:space="preserve">to the MPTF Secretariat </w:t>
      </w:r>
      <w:r w:rsidRPr="006A4FDD">
        <w:rPr>
          <w:rFonts w:ascii="Calibri" w:hAnsi="Calibri"/>
          <w:sz w:val="22"/>
        </w:rPr>
        <w:t xml:space="preserve">on the implementation of the visibility plan. </w:t>
      </w:r>
    </w:p>
    <w:p w14:paraId="0E82AA17" w14:textId="77777777" w:rsidR="006A4FDD" w:rsidRPr="006A4FDD" w:rsidRDefault="006A4FDD" w:rsidP="006A4FDD">
      <w:pPr>
        <w:spacing w:after="0" w:line="240" w:lineRule="auto"/>
        <w:jc w:val="both"/>
        <w:rPr>
          <w:rFonts w:ascii="Calibri" w:hAnsi="Calibri"/>
          <w:sz w:val="22"/>
        </w:rPr>
      </w:pPr>
    </w:p>
    <w:p w14:paraId="0E82AA18" w14:textId="77777777" w:rsidR="006A4FDD" w:rsidRPr="006A4FDD" w:rsidRDefault="006A4FDD" w:rsidP="006A4FDD">
      <w:pPr>
        <w:spacing w:after="0" w:line="240" w:lineRule="auto"/>
        <w:jc w:val="both"/>
        <w:rPr>
          <w:rFonts w:ascii="Calibri" w:hAnsi="Calibri"/>
          <w:sz w:val="22"/>
        </w:rPr>
      </w:pPr>
      <w:r w:rsidRPr="006A4FDD">
        <w:rPr>
          <w:rFonts w:ascii="Calibri" w:hAnsi="Calibri"/>
          <w:sz w:val="22"/>
        </w:rPr>
        <w:t>Generally, all the communication materials prepared within the project will display the following logos, as appropriate:</w:t>
      </w:r>
    </w:p>
    <w:p w14:paraId="0E82AA19" w14:textId="77777777" w:rsidR="006A4FDD" w:rsidRDefault="006A4FDD" w:rsidP="002E01BF">
      <w:pPr>
        <w:pStyle w:val="ListParagraph"/>
        <w:numPr>
          <w:ilvl w:val="0"/>
          <w:numId w:val="42"/>
        </w:numPr>
        <w:spacing w:after="0" w:line="240" w:lineRule="auto"/>
        <w:jc w:val="both"/>
        <w:rPr>
          <w:rFonts w:ascii="Calibri" w:hAnsi="Calibri"/>
          <w:sz w:val="22"/>
        </w:rPr>
      </w:pPr>
      <w:r w:rsidRPr="002E01BF">
        <w:rPr>
          <w:rFonts w:ascii="Calibri" w:hAnsi="Calibri"/>
          <w:sz w:val="22"/>
        </w:rPr>
        <w:t>Logo of the implementing organization, following their specific visibility guidelines;</w:t>
      </w:r>
    </w:p>
    <w:p w14:paraId="0E82AA1A" w14:textId="77777777" w:rsidR="00E06795" w:rsidRDefault="00E06795" w:rsidP="00E06795">
      <w:pPr>
        <w:pStyle w:val="ListParagraph"/>
        <w:numPr>
          <w:ilvl w:val="0"/>
          <w:numId w:val="42"/>
        </w:numPr>
        <w:spacing w:after="0" w:line="240" w:lineRule="auto"/>
        <w:jc w:val="both"/>
        <w:rPr>
          <w:rFonts w:ascii="Calibri" w:hAnsi="Calibri"/>
          <w:sz w:val="22"/>
        </w:rPr>
      </w:pPr>
      <w:r>
        <w:rPr>
          <w:rFonts w:ascii="Calibri" w:hAnsi="Calibri"/>
          <w:sz w:val="22"/>
        </w:rPr>
        <w:t>Logo of the MPTFO;</w:t>
      </w:r>
    </w:p>
    <w:p w14:paraId="0E82AA1B" w14:textId="77777777" w:rsidR="006A4FDD" w:rsidRPr="002E01BF" w:rsidRDefault="006A4FDD" w:rsidP="002E01BF">
      <w:pPr>
        <w:pStyle w:val="ListParagraph"/>
        <w:numPr>
          <w:ilvl w:val="0"/>
          <w:numId w:val="42"/>
        </w:numPr>
        <w:spacing w:after="0" w:line="240" w:lineRule="auto"/>
        <w:jc w:val="both"/>
        <w:rPr>
          <w:rFonts w:ascii="Calibri" w:hAnsi="Calibri"/>
          <w:sz w:val="22"/>
        </w:rPr>
      </w:pPr>
      <w:r w:rsidRPr="002E01BF">
        <w:rPr>
          <w:rFonts w:ascii="Calibri" w:hAnsi="Calibri"/>
          <w:sz w:val="22"/>
        </w:rPr>
        <w:t>Logo of the MPTF donors, as provided by the donors through the MPTF Secretariat;</w:t>
      </w:r>
    </w:p>
    <w:p w14:paraId="0E82AA1C" w14:textId="77777777" w:rsidR="006A4FDD" w:rsidRPr="002E01BF" w:rsidRDefault="006A4FDD" w:rsidP="002E01BF">
      <w:pPr>
        <w:pStyle w:val="ListParagraph"/>
        <w:numPr>
          <w:ilvl w:val="0"/>
          <w:numId w:val="42"/>
        </w:numPr>
        <w:spacing w:after="0" w:line="240" w:lineRule="auto"/>
        <w:jc w:val="both"/>
        <w:rPr>
          <w:rFonts w:ascii="Calibri" w:hAnsi="Calibri"/>
          <w:sz w:val="22"/>
        </w:rPr>
      </w:pPr>
      <w:r w:rsidRPr="002E01BF">
        <w:rPr>
          <w:rFonts w:ascii="Calibri" w:hAnsi="Calibri"/>
          <w:sz w:val="22"/>
        </w:rPr>
        <w:t>Logos of other partners</w:t>
      </w:r>
      <w:r w:rsidR="001C2228">
        <w:rPr>
          <w:rFonts w:ascii="Calibri" w:hAnsi="Calibri"/>
          <w:sz w:val="22"/>
        </w:rPr>
        <w:t xml:space="preserve"> (if applicable)</w:t>
      </w:r>
      <w:r w:rsidRPr="002E01BF">
        <w:rPr>
          <w:rFonts w:ascii="Calibri" w:hAnsi="Calibri"/>
          <w:sz w:val="22"/>
        </w:rPr>
        <w:t xml:space="preserve">. </w:t>
      </w:r>
    </w:p>
    <w:p w14:paraId="0E82AA1D" w14:textId="77777777" w:rsidR="006A4FDD" w:rsidRDefault="006A4FDD" w:rsidP="006A4FDD">
      <w:pPr>
        <w:spacing w:after="0" w:line="240" w:lineRule="auto"/>
        <w:jc w:val="both"/>
        <w:rPr>
          <w:rFonts w:ascii="Calibri" w:hAnsi="Calibri"/>
          <w:sz w:val="22"/>
        </w:rPr>
      </w:pPr>
    </w:p>
    <w:p w14:paraId="0E82AA1E" w14:textId="0F3BBD61" w:rsidR="001C2228" w:rsidRDefault="00C44E64" w:rsidP="003F04F9">
      <w:pPr>
        <w:spacing w:after="0" w:line="240" w:lineRule="auto"/>
        <w:jc w:val="both"/>
        <w:rPr>
          <w:rFonts w:ascii="Calibri" w:hAnsi="Calibri"/>
          <w:sz w:val="22"/>
        </w:rPr>
      </w:pPr>
      <w:r>
        <w:rPr>
          <w:rFonts w:ascii="Calibri" w:hAnsi="Calibri"/>
          <w:sz w:val="22"/>
        </w:rPr>
        <w:t xml:space="preserve">The </w:t>
      </w:r>
      <w:r w:rsidR="00A46CA0">
        <w:rPr>
          <w:rFonts w:ascii="Calibri" w:hAnsi="Calibri"/>
          <w:sz w:val="22"/>
          <w:szCs w:val="22"/>
        </w:rPr>
        <w:t>recipients</w:t>
      </w:r>
      <w:r w:rsidRPr="007918E8" w:rsidDel="00C44E64">
        <w:rPr>
          <w:rFonts w:ascii="Calibri" w:hAnsi="Calibri"/>
          <w:sz w:val="22"/>
        </w:rPr>
        <w:t xml:space="preserve"> </w:t>
      </w:r>
      <w:r w:rsidR="006A4FDD" w:rsidRPr="006A4FDD">
        <w:rPr>
          <w:rFonts w:ascii="Calibri" w:hAnsi="Calibri"/>
          <w:sz w:val="22"/>
        </w:rPr>
        <w:t xml:space="preserve">are requested to confirm with the Secretariat the correct use of the logos, prior to the launch of a publication. </w:t>
      </w:r>
    </w:p>
    <w:p w14:paraId="0E82AA1F" w14:textId="77777777" w:rsidR="00D5680F" w:rsidRDefault="00D5680F" w:rsidP="003F04F9">
      <w:pPr>
        <w:spacing w:after="0" w:line="240" w:lineRule="auto"/>
        <w:jc w:val="both"/>
        <w:rPr>
          <w:rFonts w:ascii="Calibri" w:hAnsi="Calibri"/>
          <w:sz w:val="22"/>
        </w:rPr>
      </w:pPr>
    </w:p>
    <w:p w14:paraId="0E82AA20" w14:textId="12E3E977" w:rsidR="006A4FDD" w:rsidRPr="002E01BF" w:rsidRDefault="00C44E64" w:rsidP="006A4FDD">
      <w:pPr>
        <w:spacing w:line="240" w:lineRule="auto"/>
        <w:jc w:val="both"/>
        <w:rPr>
          <w:rFonts w:ascii="Calibri" w:hAnsi="Calibri"/>
          <w:sz w:val="22"/>
        </w:rPr>
      </w:pPr>
      <w:r>
        <w:rPr>
          <w:rFonts w:ascii="Calibri" w:hAnsi="Calibri"/>
          <w:sz w:val="22"/>
        </w:rPr>
        <w:t xml:space="preserve">The </w:t>
      </w:r>
      <w:r w:rsidR="00A46CA0">
        <w:rPr>
          <w:rFonts w:ascii="Calibri" w:hAnsi="Calibri"/>
          <w:sz w:val="22"/>
          <w:szCs w:val="22"/>
        </w:rPr>
        <w:t>recipients</w:t>
      </w:r>
      <w:r w:rsidRPr="007918E8" w:rsidDel="00C44E64">
        <w:rPr>
          <w:rFonts w:ascii="Calibri" w:hAnsi="Calibri"/>
          <w:sz w:val="22"/>
        </w:rPr>
        <w:t xml:space="preserve"> </w:t>
      </w:r>
      <w:r w:rsidR="006A4FDD" w:rsidRPr="002E01BF">
        <w:rPr>
          <w:rFonts w:ascii="Calibri" w:hAnsi="Calibri"/>
          <w:sz w:val="22"/>
        </w:rPr>
        <w:t xml:space="preserve">are also requested to inform the Secretariat in advance of any events to be organized and consult with the Secretariat on the appropriate level of representation of the donor and other partners. </w:t>
      </w:r>
    </w:p>
    <w:p w14:paraId="0E82AA21" w14:textId="678FF6A1" w:rsidR="006A4FDD" w:rsidRPr="002E01BF" w:rsidRDefault="00C44E64" w:rsidP="006A4FDD">
      <w:pPr>
        <w:spacing w:line="240" w:lineRule="auto"/>
        <w:jc w:val="both"/>
        <w:rPr>
          <w:rFonts w:ascii="Calibri" w:hAnsi="Calibri"/>
          <w:sz w:val="22"/>
        </w:rPr>
      </w:pPr>
      <w:r>
        <w:rPr>
          <w:rFonts w:ascii="Calibri" w:hAnsi="Calibri"/>
          <w:sz w:val="22"/>
        </w:rPr>
        <w:t xml:space="preserve">The </w:t>
      </w:r>
      <w:r w:rsidR="00A46CA0">
        <w:rPr>
          <w:rFonts w:ascii="Calibri" w:hAnsi="Calibri"/>
          <w:sz w:val="22"/>
          <w:szCs w:val="22"/>
        </w:rPr>
        <w:t xml:space="preserve">recipients </w:t>
      </w:r>
      <w:r w:rsidR="006A4FDD" w:rsidRPr="002E01BF">
        <w:rPr>
          <w:rFonts w:ascii="Calibri" w:hAnsi="Calibri"/>
          <w:sz w:val="22"/>
        </w:rPr>
        <w:t xml:space="preserve">will share with the Secretariat visibility and communication materials that can be further distributed with traditional and social media. </w:t>
      </w:r>
    </w:p>
    <w:p w14:paraId="0E82AA22" w14:textId="0C93511A" w:rsidR="003C0A56" w:rsidRPr="002E01BF" w:rsidRDefault="00C44E64" w:rsidP="006A4FDD">
      <w:pPr>
        <w:spacing w:line="240" w:lineRule="auto"/>
        <w:jc w:val="both"/>
        <w:rPr>
          <w:rFonts w:ascii="Calibri" w:hAnsi="Calibri"/>
          <w:sz w:val="22"/>
        </w:rPr>
      </w:pPr>
      <w:r>
        <w:rPr>
          <w:rFonts w:ascii="Calibri" w:hAnsi="Calibri"/>
          <w:sz w:val="22"/>
        </w:rPr>
        <w:t xml:space="preserve">The </w:t>
      </w:r>
      <w:r w:rsidR="00A46CA0">
        <w:rPr>
          <w:rFonts w:ascii="Calibri" w:hAnsi="Calibri"/>
          <w:sz w:val="22"/>
          <w:szCs w:val="22"/>
        </w:rPr>
        <w:t xml:space="preserve">recipients </w:t>
      </w:r>
      <w:r w:rsidR="006A4FDD" w:rsidRPr="002E01BF">
        <w:rPr>
          <w:rFonts w:ascii="Calibri" w:hAnsi="Calibri"/>
          <w:sz w:val="22"/>
        </w:rPr>
        <w:t>will maintain a close communication and will consult with the Secretariat on any sensitive issues that require particular attention. The Secretariat is responsible to provide advice and refer the issue to the SC, if necessary</w:t>
      </w:r>
      <w:r w:rsidR="003C0A56" w:rsidRPr="002E01BF">
        <w:rPr>
          <w:rFonts w:ascii="Calibri" w:hAnsi="Calibri"/>
          <w:sz w:val="22"/>
        </w:rPr>
        <w:t xml:space="preserve">. </w:t>
      </w:r>
    </w:p>
    <w:p w14:paraId="0E82AA23" w14:textId="77777777" w:rsidR="002C33A7" w:rsidRPr="002E01BF" w:rsidRDefault="002C33A7" w:rsidP="006136BB">
      <w:pPr>
        <w:pStyle w:val="Heading2"/>
        <w:rPr>
          <w:b w:val="0"/>
          <w:bCs w:val="0"/>
          <w:color w:val="404040" w:themeColor="text1" w:themeTint="BF"/>
          <w:sz w:val="22"/>
        </w:rPr>
      </w:pPr>
      <w:bookmarkStart w:id="13" w:name="_Toc15305480"/>
      <w:r>
        <w:rPr>
          <w:lang w:val="en-GB"/>
        </w:rPr>
        <w:t>Evaluation</w:t>
      </w:r>
      <w:bookmarkEnd w:id="13"/>
    </w:p>
    <w:p w14:paraId="0E82AA24" w14:textId="1EFE9058" w:rsidR="00655A15" w:rsidRPr="002E01BF" w:rsidRDefault="002E01BF" w:rsidP="006136BB">
      <w:pPr>
        <w:spacing w:line="240" w:lineRule="auto"/>
        <w:jc w:val="both"/>
        <w:rPr>
          <w:rFonts w:ascii="Calibri" w:hAnsi="Calibri"/>
          <w:sz w:val="22"/>
        </w:rPr>
      </w:pPr>
      <w:r w:rsidRPr="002E01BF">
        <w:rPr>
          <w:rFonts w:ascii="Calibri" w:hAnsi="Calibri"/>
          <w:sz w:val="22"/>
        </w:rPr>
        <w:t xml:space="preserve">The individual project evaluations will be conducted in accordance with the </w:t>
      </w:r>
      <w:r w:rsidR="00C44E64">
        <w:rPr>
          <w:rFonts w:ascii="Calibri" w:hAnsi="Calibri"/>
          <w:sz w:val="22"/>
          <w:szCs w:val="22"/>
        </w:rPr>
        <w:t xml:space="preserve">offices of the participating UN organizations’ </w:t>
      </w:r>
      <w:r w:rsidRPr="002E01BF">
        <w:rPr>
          <w:rFonts w:ascii="Calibri" w:hAnsi="Calibri"/>
          <w:sz w:val="22"/>
        </w:rPr>
        <w:t>own rules and procedures</w:t>
      </w:r>
      <w:r>
        <w:rPr>
          <w:rFonts w:ascii="Calibri" w:hAnsi="Calibri"/>
          <w:sz w:val="22"/>
        </w:rPr>
        <w:t xml:space="preserve"> and will be budgeted </w:t>
      </w:r>
      <w:r w:rsidR="001446A7">
        <w:rPr>
          <w:rFonts w:ascii="Calibri" w:hAnsi="Calibri"/>
          <w:sz w:val="22"/>
        </w:rPr>
        <w:t>in</w:t>
      </w:r>
      <w:r>
        <w:rPr>
          <w:rFonts w:ascii="Calibri" w:hAnsi="Calibri"/>
          <w:sz w:val="22"/>
        </w:rPr>
        <w:t xml:space="preserve"> the project</w:t>
      </w:r>
      <w:r w:rsidR="001446A7">
        <w:rPr>
          <w:rFonts w:ascii="Calibri" w:hAnsi="Calibri"/>
          <w:sz w:val="22"/>
        </w:rPr>
        <w:t xml:space="preserve"> during the project design phase, wherever the case may be.</w:t>
      </w:r>
      <w:r>
        <w:rPr>
          <w:rFonts w:ascii="Calibri" w:hAnsi="Calibri"/>
          <w:sz w:val="22"/>
        </w:rPr>
        <w:t xml:space="preserve"> </w:t>
      </w:r>
      <w:r w:rsidRPr="002E01BF">
        <w:rPr>
          <w:rFonts w:ascii="Calibri" w:hAnsi="Calibri"/>
          <w:sz w:val="22"/>
        </w:rPr>
        <w:t>The evaluation reports will nevertheless be shared with the Steering Committee</w:t>
      </w:r>
      <w:r>
        <w:rPr>
          <w:rFonts w:ascii="Calibri" w:hAnsi="Calibri"/>
          <w:sz w:val="22"/>
        </w:rPr>
        <w:t xml:space="preserve"> through the Secretariat</w:t>
      </w:r>
      <w:r w:rsidR="00655A15" w:rsidRPr="002E01BF">
        <w:rPr>
          <w:rFonts w:ascii="Calibri" w:hAnsi="Calibri"/>
          <w:sz w:val="22"/>
        </w:rPr>
        <w:t xml:space="preserve">. </w:t>
      </w:r>
    </w:p>
    <w:p w14:paraId="0E82AA25" w14:textId="77777777" w:rsidR="004924EE" w:rsidRPr="00E46480" w:rsidRDefault="004924EE" w:rsidP="006136BB">
      <w:pPr>
        <w:pStyle w:val="Heading2"/>
        <w:jc w:val="both"/>
      </w:pPr>
      <w:bookmarkStart w:id="14" w:name="_Toc15305481"/>
      <w:bookmarkStart w:id="15" w:name="_Hlk6315785"/>
      <w:r w:rsidRPr="00E46480">
        <w:t>Knowledge management</w:t>
      </w:r>
      <w:bookmarkEnd w:id="14"/>
    </w:p>
    <w:p w14:paraId="0E82AA26" w14:textId="2EDF1D89" w:rsidR="00D17169" w:rsidRDefault="008156E7" w:rsidP="006136BB">
      <w:pPr>
        <w:spacing w:after="0" w:line="240" w:lineRule="auto"/>
        <w:jc w:val="both"/>
        <w:rPr>
          <w:rFonts w:ascii="Calibri" w:hAnsi="Calibri"/>
          <w:sz w:val="22"/>
        </w:rPr>
      </w:pPr>
      <w:r>
        <w:rPr>
          <w:rFonts w:ascii="Calibri" w:hAnsi="Calibri"/>
          <w:sz w:val="22"/>
        </w:rPr>
        <w:t>The offices of participating UN organizations</w:t>
      </w:r>
      <w:r w:rsidR="00D17169" w:rsidRPr="00E46480">
        <w:rPr>
          <w:rFonts w:ascii="Calibri" w:hAnsi="Calibri"/>
          <w:sz w:val="22"/>
        </w:rPr>
        <w:t xml:space="preserve"> should elaborate </w:t>
      </w:r>
      <w:r w:rsidR="00020259" w:rsidRPr="00E46480">
        <w:rPr>
          <w:rFonts w:ascii="Calibri" w:hAnsi="Calibri"/>
          <w:sz w:val="22"/>
        </w:rPr>
        <w:t xml:space="preserve">how knowledge management will be ensured </w:t>
      </w:r>
      <w:r w:rsidR="003F04F9" w:rsidRPr="00E46480">
        <w:rPr>
          <w:rFonts w:ascii="Calibri" w:hAnsi="Calibri"/>
          <w:sz w:val="22"/>
        </w:rPr>
        <w:t>by, e.g., producing</w:t>
      </w:r>
      <w:r w:rsidR="00D17169" w:rsidRPr="00E46480">
        <w:rPr>
          <w:rFonts w:ascii="Calibri" w:hAnsi="Calibri"/>
          <w:sz w:val="22"/>
        </w:rPr>
        <w:t xml:space="preserve"> knowledge product (e.g. analytic report</w:t>
      </w:r>
      <w:r w:rsidR="00D17169">
        <w:rPr>
          <w:rFonts w:ascii="Calibri" w:hAnsi="Calibri"/>
          <w:sz w:val="22"/>
        </w:rPr>
        <w:t>, study)</w:t>
      </w:r>
      <w:r w:rsidR="00D42F71">
        <w:rPr>
          <w:rFonts w:ascii="Calibri" w:hAnsi="Calibri"/>
          <w:sz w:val="22"/>
        </w:rPr>
        <w:t xml:space="preserve"> or a substantive communication or visibility material (e.g. video, Instagram story, blog post) that focuses on lessons learnt and knowledge sharing</w:t>
      </w:r>
      <w:r w:rsidR="00D17169">
        <w:rPr>
          <w:rFonts w:ascii="Calibri" w:hAnsi="Calibri"/>
          <w:sz w:val="22"/>
        </w:rPr>
        <w:t xml:space="preserve">. </w:t>
      </w:r>
    </w:p>
    <w:p w14:paraId="0E82AA27" w14:textId="77777777" w:rsidR="004924EE" w:rsidRDefault="004924EE" w:rsidP="006136BB">
      <w:pPr>
        <w:spacing w:after="0" w:line="240" w:lineRule="auto"/>
        <w:jc w:val="both"/>
        <w:rPr>
          <w:rFonts w:ascii="Calibri" w:hAnsi="Calibri"/>
          <w:sz w:val="22"/>
        </w:rPr>
      </w:pPr>
    </w:p>
    <w:p w14:paraId="0E82AA28" w14:textId="77777777" w:rsidR="009D004D" w:rsidRDefault="009D004D" w:rsidP="006136BB">
      <w:pPr>
        <w:pStyle w:val="Heading1"/>
      </w:pPr>
      <w:bookmarkStart w:id="16" w:name="_Toc15305482"/>
      <w:bookmarkEnd w:id="15"/>
      <w:r>
        <w:t>Annexes</w:t>
      </w:r>
      <w:bookmarkEnd w:id="16"/>
    </w:p>
    <w:p w14:paraId="0E82AA29" w14:textId="77777777" w:rsidR="009D004D" w:rsidRPr="009D004D" w:rsidRDefault="009D004D" w:rsidP="006136BB">
      <w:pPr>
        <w:pStyle w:val="ListParagraph"/>
        <w:numPr>
          <w:ilvl w:val="0"/>
          <w:numId w:val="19"/>
        </w:numPr>
        <w:spacing w:after="0" w:line="240" w:lineRule="auto"/>
        <w:rPr>
          <w:rFonts w:ascii="Calibri" w:hAnsi="Calibri"/>
          <w:sz w:val="22"/>
        </w:rPr>
      </w:pPr>
      <w:r w:rsidRPr="009D004D">
        <w:rPr>
          <w:rFonts w:ascii="Calibri" w:hAnsi="Calibri"/>
          <w:sz w:val="22"/>
        </w:rPr>
        <w:t>Project Proposal narrative template</w:t>
      </w:r>
    </w:p>
    <w:p w14:paraId="0E82AA2A" w14:textId="77777777" w:rsidR="009D004D" w:rsidRDefault="009D004D" w:rsidP="006136BB">
      <w:pPr>
        <w:pStyle w:val="ListParagraph"/>
        <w:numPr>
          <w:ilvl w:val="0"/>
          <w:numId w:val="19"/>
        </w:numPr>
        <w:spacing w:after="0" w:line="240" w:lineRule="auto"/>
        <w:rPr>
          <w:rFonts w:ascii="Calibri" w:hAnsi="Calibri"/>
          <w:sz w:val="22"/>
        </w:rPr>
      </w:pPr>
      <w:r w:rsidRPr="009D004D">
        <w:rPr>
          <w:rFonts w:ascii="Calibri" w:hAnsi="Calibri"/>
          <w:sz w:val="22"/>
        </w:rPr>
        <w:t>Project Proposal budget template</w:t>
      </w:r>
    </w:p>
    <w:p w14:paraId="0E82AA2B" w14:textId="77777777" w:rsidR="004A29A1" w:rsidRDefault="004A29A1" w:rsidP="006136BB">
      <w:pPr>
        <w:pStyle w:val="ListParagraph"/>
        <w:numPr>
          <w:ilvl w:val="0"/>
          <w:numId w:val="19"/>
        </w:numPr>
        <w:spacing w:after="0" w:line="240" w:lineRule="auto"/>
        <w:rPr>
          <w:rFonts w:ascii="Calibri" w:hAnsi="Calibri"/>
          <w:sz w:val="22"/>
        </w:rPr>
      </w:pPr>
      <w:r>
        <w:rPr>
          <w:rFonts w:ascii="Calibri" w:hAnsi="Calibri"/>
          <w:sz w:val="22"/>
        </w:rPr>
        <w:t>Project results framework</w:t>
      </w:r>
    </w:p>
    <w:p w14:paraId="0E82AA2C" w14:textId="77777777" w:rsidR="004A29A1" w:rsidRDefault="004A29A1" w:rsidP="006136BB">
      <w:pPr>
        <w:pStyle w:val="ListParagraph"/>
        <w:numPr>
          <w:ilvl w:val="0"/>
          <w:numId w:val="19"/>
        </w:numPr>
        <w:spacing w:after="0" w:line="240" w:lineRule="auto"/>
        <w:rPr>
          <w:rFonts w:ascii="Calibri" w:hAnsi="Calibri"/>
          <w:sz w:val="22"/>
        </w:rPr>
      </w:pPr>
      <w:r>
        <w:rPr>
          <w:rFonts w:ascii="Calibri" w:hAnsi="Calibri"/>
          <w:sz w:val="22"/>
        </w:rPr>
        <w:t>Risk matrix</w:t>
      </w:r>
    </w:p>
    <w:p w14:paraId="0E82AA2D" w14:textId="77777777" w:rsidR="004A29A1" w:rsidRDefault="004A29A1" w:rsidP="006136BB">
      <w:pPr>
        <w:pStyle w:val="ListParagraph"/>
        <w:numPr>
          <w:ilvl w:val="0"/>
          <w:numId w:val="19"/>
        </w:numPr>
        <w:spacing w:after="0" w:line="240" w:lineRule="auto"/>
        <w:rPr>
          <w:rFonts w:ascii="Calibri" w:hAnsi="Calibri"/>
          <w:sz w:val="22"/>
        </w:rPr>
      </w:pPr>
      <w:r>
        <w:rPr>
          <w:rFonts w:ascii="Calibri" w:hAnsi="Calibri"/>
          <w:sz w:val="22"/>
        </w:rPr>
        <w:t>Multi-year work plan</w:t>
      </w:r>
    </w:p>
    <w:p w14:paraId="2A48B163" w14:textId="7AE33274" w:rsidR="00551106" w:rsidRDefault="00551106" w:rsidP="006136BB">
      <w:pPr>
        <w:pStyle w:val="ListParagraph"/>
        <w:numPr>
          <w:ilvl w:val="0"/>
          <w:numId w:val="19"/>
        </w:numPr>
        <w:spacing w:after="0" w:line="240" w:lineRule="auto"/>
        <w:rPr>
          <w:rFonts w:ascii="Calibri" w:hAnsi="Calibri"/>
          <w:sz w:val="22"/>
        </w:rPr>
      </w:pPr>
      <w:r>
        <w:rPr>
          <w:rFonts w:ascii="Calibri" w:hAnsi="Calibri"/>
          <w:sz w:val="22"/>
        </w:rPr>
        <w:t>UNDG budget categories</w:t>
      </w:r>
    </w:p>
    <w:p w14:paraId="0E82AA2E" w14:textId="77777777" w:rsidR="00BB0A09" w:rsidRPr="009D004D" w:rsidRDefault="003F04F9" w:rsidP="006136BB">
      <w:pPr>
        <w:pStyle w:val="ListParagraph"/>
        <w:numPr>
          <w:ilvl w:val="0"/>
          <w:numId w:val="19"/>
        </w:numPr>
        <w:spacing w:after="0" w:line="240" w:lineRule="auto"/>
        <w:rPr>
          <w:rFonts w:ascii="Calibri" w:hAnsi="Calibri"/>
          <w:sz w:val="22"/>
        </w:rPr>
      </w:pPr>
      <w:r>
        <w:rPr>
          <w:rFonts w:ascii="Calibri" w:hAnsi="Calibri"/>
          <w:sz w:val="22"/>
        </w:rPr>
        <w:t>MPTF Operational Manual</w:t>
      </w:r>
    </w:p>
    <w:p w14:paraId="0E82AA2F" w14:textId="77777777" w:rsidR="009A470B" w:rsidRDefault="009D004D" w:rsidP="006136BB">
      <w:pPr>
        <w:pStyle w:val="ListParagraph"/>
        <w:numPr>
          <w:ilvl w:val="0"/>
          <w:numId w:val="19"/>
        </w:numPr>
        <w:spacing w:after="0" w:line="240" w:lineRule="auto"/>
        <w:rPr>
          <w:rFonts w:ascii="Calibri" w:hAnsi="Calibri"/>
          <w:sz w:val="22"/>
        </w:rPr>
      </w:pPr>
      <w:r w:rsidRPr="004924EE">
        <w:rPr>
          <w:rFonts w:ascii="Calibri" w:hAnsi="Calibri"/>
          <w:sz w:val="22"/>
        </w:rPr>
        <w:t>Roadmap for a sustainable solution to the illegal possession, misuse and trafficking of SALW and their ammunition in the Western Balkans</w:t>
      </w:r>
    </w:p>
    <w:p w14:paraId="0E82AA30" w14:textId="77777777" w:rsidR="004924EE" w:rsidRDefault="004924EE" w:rsidP="006136BB">
      <w:pPr>
        <w:pStyle w:val="Heading5"/>
        <w:spacing w:line="240" w:lineRule="auto"/>
      </w:pPr>
    </w:p>
    <w:sectPr w:rsidR="004924EE" w:rsidSect="00C07CA7">
      <w:headerReference w:type="default" r:id="rId10"/>
      <w:footerReference w:type="default" r:id="rId11"/>
      <w:footnotePr>
        <w:numFmt w:val="chicago"/>
      </w:footnotePr>
      <w:pgSz w:w="12240" w:h="15840" w:code="1"/>
      <w:pgMar w:top="1440" w:right="1440" w:bottom="1530" w:left="1440" w:header="720" w:footer="86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093AD" w16cid:durableId="20E58DD9"/>
  <w16cid:commentId w16cid:paraId="59153371" w16cid:durableId="20E98166"/>
  <w16cid:commentId w16cid:paraId="7072F2E6" w16cid:durableId="20E98167"/>
  <w16cid:commentId w16cid:paraId="04DD6535" w16cid:durableId="20E98168"/>
  <w16cid:commentId w16cid:paraId="3C805B46" w16cid:durableId="20E98169"/>
  <w16cid:commentId w16cid:paraId="233A6F0A" w16cid:durableId="20E9816A"/>
  <w16cid:commentId w16cid:paraId="533553DF" w16cid:durableId="20E982C9"/>
  <w16cid:commentId w16cid:paraId="13C2879C" w16cid:durableId="20E9816B"/>
  <w16cid:commentId w16cid:paraId="28D92F42" w16cid:durableId="20E9816C"/>
  <w16cid:commentId w16cid:paraId="223DEEEA" w16cid:durableId="20E982F9"/>
  <w16cid:commentId w16cid:paraId="0B5A4FCC" w16cid:durableId="20E9816D"/>
  <w16cid:commentId w16cid:paraId="3E193401" w16cid:durableId="20E9816E"/>
  <w16cid:commentId w16cid:paraId="25CACBCB" w16cid:durableId="20E98348"/>
  <w16cid:commentId w16cid:paraId="67ECEC98" w16cid:durableId="20E9816F"/>
  <w16cid:commentId w16cid:paraId="073D6215" w16cid:durableId="20E98170"/>
  <w16cid:commentId w16cid:paraId="34C8EA09" w16cid:durableId="20E599F1"/>
  <w16cid:commentId w16cid:paraId="056F0602" w16cid:durableId="20E98172"/>
  <w16cid:commentId w16cid:paraId="1E1E592E" w16cid:durableId="20E98487"/>
  <w16cid:commentId w16cid:paraId="6C093DD9" w16cid:durableId="20E5992C"/>
  <w16cid:commentId w16cid:paraId="6131B1D8" w16cid:durableId="20E98174"/>
  <w16cid:commentId w16cid:paraId="3066ED0B" w16cid:durableId="20E59134"/>
  <w16cid:commentId w16cid:paraId="575D7819" w16cid:durableId="20E98176"/>
  <w16cid:commentId w16cid:paraId="0E7604B1" w16cid:durableId="20E591B6"/>
  <w16cid:commentId w16cid:paraId="71A2F505" w16cid:durableId="20E98178"/>
  <w16cid:commentId w16cid:paraId="2A09AF1B" w16cid:durableId="20E983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0E39E" w14:textId="77777777" w:rsidR="008B6805" w:rsidRDefault="008B6805">
      <w:pPr>
        <w:spacing w:after="0" w:line="240" w:lineRule="auto"/>
      </w:pPr>
      <w:r>
        <w:separator/>
      </w:r>
    </w:p>
  </w:endnote>
  <w:endnote w:type="continuationSeparator" w:id="0">
    <w:p w14:paraId="6B46802C" w14:textId="77777777" w:rsidR="008B6805" w:rsidRDefault="008B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YouYuan">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2AA37" w14:textId="77777777" w:rsidR="0077386E" w:rsidRDefault="0077386E" w:rsidP="001E042A">
    <w:pPr>
      <w:pStyle w:val="Footer"/>
    </w:pPr>
    <w:r w:rsidRPr="001E042A">
      <w:fldChar w:fldCharType="begin"/>
    </w:r>
    <w:r w:rsidRPr="001E042A">
      <w:instrText xml:space="preserve"> PAGE   \* MERGEFORMAT </w:instrText>
    </w:r>
    <w:r w:rsidRPr="001E042A">
      <w:fldChar w:fldCharType="separate"/>
    </w:r>
    <w:r w:rsidR="00403BEF">
      <w:t>8</w:t>
    </w:r>
    <w:r w:rsidRPr="001E042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73CC1" w14:textId="77777777" w:rsidR="008B6805" w:rsidRDefault="008B6805">
      <w:pPr>
        <w:spacing w:after="0" w:line="240" w:lineRule="auto"/>
      </w:pPr>
      <w:r>
        <w:separator/>
      </w:r>
    </w:p>
  </w:footnote>
  <w:footnote w:type="continuationSeparator" w:id="0">
    <w:p w14:paraId="28F8879C" w14:textId="77777777" w:rsidR="008B6805" w:rsidRDefault="008B6805">
      <w:pPr>
        <w:spacing w:after="0" w:line="240" w:lineRule="auto"/>
      </w:pPr>
      <w:r>
        <w:continuationSeparator/>
      </w:r>
    </w:p>
  </w:footnote>
  <w:footnote w:id="1">
    <w:p w14:paraId="465380B0" w14:textId="0B03ACBB" w:rsidR="0088689B" w:rsidRPr="0088689B" w:rsidRDefault="0088689B">
      <w:pPr>
        <w:pStyle w:val="FootnoteText"/>
        <w:rPr>
          <w:rFonts w:ascii="Times New Roman" w:hAnsi="Times New Roman" w:cs="Times New Roman"/>
        </w:rPr>
      </w:pPr>
      <w:r w:rsidRPr="0088689B">
        <w:rPr>
          <w:rStyle w:val="FootnoteReference"/>
          <w:rFonts w:ascii="Times New Roman" w:hAnsi="Times New Roman" w:cs="Times New Roman"/>
        </w:rPr>
        <w:footnoteRef/>
      </w:r>
      <w:r w:rsidRPr="0088689B">
        <w:rPr>
          <w:rFonts w:ascii="Times New Roman" w:hAnsi="Times New Roman" w:cs="Times New Roman"/>
        </w:rPr>
        <w:t xml:space="preserve"> </w:t>
      </w:r>
      <w:r w:rsidRPr="0088689B">
        <w:rPr>
          <w:rFonts w:ascii="Times New Roman" w:hAnsi="Times New Roman" w:cs="Times New Roman"/>
          <w:i/>
          <w:iCs/>
        </w:rPr>
        <w:t>References to Kosovo shall be understood to be in the context of Security Council Resolution 1244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2AA36" w14:textId="77777777" w:rsidR="0077386E" w:rsidRPr="00473BC5" w:rsidRDefault="0077386E" w:rsidP="00473BC5">
    <w:pPr>
      <w:pStyle w:val="Heading3"/>
    </w:pPr>
    <w:r>
      <w:t>CALL FOR PROPOSALS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22F5"/>
    <w:multiLevelType w:val="hybridMultilevel"/>
    <w:tmpl w:val="8B00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1047B"/>
    <w:multiLevelType w:val="hybridMultilevel"/>
    <w:tmpl w:val="1A4E98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345CF1"/>
    <w:multiLevelType w:val="hybridMultilevel"/>
    <w:tmpl w:val="F7AAD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D582D"/>
    <w:multiLevelType w:val="hybridMultilevel"/>
    <w:tmpl w:val="8834CE68"/>
    <w:lvl w:ilvl="0" w:tplc="F630347A">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D257DB"/>
    <w:multiLevelType w:val="hybridMultilevel"/>
    <w:tmpl w:val="55AA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613457"/>
    <w:multiLevelType w:val="hybridMultilevel"/>
    <w:tmpl w:val="76A2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6F32D2"/>
    <w:multiLevelType w:val="hybridMultilevel"/>
    <w:tmpl w:val="A7B8BB20"/>
    <w:lvl w:ilvl="0" w:tplc="011C04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5765AC"/>
    <w:multiLevelType w:val="hybridMultilevel"/>
    <w:tmpl w:val="AADA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B426D7"/>
    <w:multiLevelType w:val="hybridMultilevel"/>
    <w:tmpl w:val="484AC116"/>
    <w:lvl w:ilvl="0" w:tplc="0409000F">
      <w:start w:val="1"/>
      <w:numFmt w:val="decimal"/>
      <w:lvlText w:val="%1."/>
      <w:lvlJc w:val="left"/>
      <w:pPr>
        <w:ind w:left="780" w:hanging="360"/>
      </w:p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1C8D760C"/>
    <w:multiLevelType w:val="hybridMultilevel"/>
    <w:tmpl w:val="7EC6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0B6DC8"/>
    <w:multiLevelType w:val="hybridMultilevel"/>
    <w:tmpl w:val="145E9820"/>
    <w:lvl w:ilvl="0" w:tplc="0409000F">
      <w:start w:val="1"/>
      <w:numFmt w:val="decimal"/>
      <w:lvlText w:val="%1."/>
      <w:lvlJc w:val="left"/>
      <w:pPr>
        <w:ind w:left="689" w:hanging="360"/>
      </w:p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1" w15:restartNumberingAfterBreak="0">
    <w:nsid w:val="2C7B1CBB"/>
    <w:multiLevelType w:val="hybridMultilevel"/>
    <w:tmpl w:val="145E9820"/>
    <w:lvl w:ilvl="0" w:tplc="0409000F">
      <w:start w:val="1"/>
      <w:numFmt w:val="decimal"/>
      <w:lvlText w:val="%1."/>
      <w:lvlJc w:val="left"/>
      <w:pPr>
        <w:ind w:left="780" w:hanging="360"/>
      </w:p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2FD006B1"/>
    <w:multiLevelType w:val="hybridMultilevel"/>
    <w:tmpl w:val="A5DA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A0CB8"/>
    <w:multiLevelType w:val="hybridMultilevel"/>
    <w:tmpl w:val="537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E65351"/>
    <w:multiLevelType w:val="hybridMultilevel"/>
    <w:tmpl w:val="2FB0EE42"/>
    <w:lvl w:ilvl="0" w:tplc="3960A700">
      <w:start w:val="1"/>
      <w:numFmt w:val="lowerRoman"/>
      <w:lvlText w:val="(%1)"/>
      <w:lvlJc w:val="left"/>
      <w:pPr>
        <w:ind w:left="720" w:hanging="360"/>
      </w:pPr>
      <w:rPr>
        <w:rFonts w:hint="default"/>
      </w:rPr>
    </w:lvl>
    <w:lvl w:ilvl="1" w:tplc="3960A70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40A32"/>
    <w:multiLevelType w:val="hybridMultilevel"/>
    <w:tmpl w:val="85023B5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3DAC33D2"/>
    <w:multiLevelType w:val="hybridMultilevel"/>
    <w:tmpl w:val="6560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8521F"/>
    <w:multiLevelType w:val="hybridMultilevel"/>
    <w:tmpl w:val="7EDAF466"/>
    <w:lvl w:ilvl="0" w:tplc="21DE9C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06785" w:themeColor="accent1" w:themeShade="BF"/>
      </w:rPr>
    </w:lvl>
    <w:lvl w:ilvl="1">
      <w:start w:val="1"/>
      <w:numFmt w:val="decimal"/>
      <w:lvlText w:val="%2."/>
      <w:lvlJc w:val="left"/>
      <w:pPr>
        <w:ind w:left="1440" w:hanging="360"/>
      </w:pPr>
      <w:rPr>
        <w:rFonts w:hint="default"/>
        <w:color w:val="306785" w:themeColor="accent1" w:themeShade="BF"/>
      </w:rPr>
    </w:lvl>
    <w:lvl w:ilvl="2">
      <w:start w:val="1"/>
      <w:numFmt w:val="decimal"/>
      <w:lvlText w:val="%3."/>
      <w:lvlJc w:val="right"/>
      <w:pPr>
        <w:ind w:left="2160" w:hanging="180"/>
      </w:pPr>
      <w:rPr>
        <w:rFonts w:hint="default"/>
        <w:color w:val="306785" w:themeColor="accent1" w:themeShade="BF"/>
      </w:rPr>
    </w:lvl>
    <w:lvl w:ilvl="3">
      <w:start w:val="1"/>
      <w:numFmt w:val="decimal"/>
      <w:lvlText w:val="%4."/>
      <w:lvlJc w:val="left"/>
      <w:pPr>
        <w:ind w:left="2880" w:hanging="360"/>
      </w:pPr>
      <w:rPr>
        <w:rFonts w:hint="default"/>
        <w:color w:val="306785" w:themeColor="accent1" w:themeShade="BF"/>
      </w:rPr>
    </w:lvl>
    <w:lvl w:ilvl="4">
      <w:start w:val="1"/>
      <w:numFmt w:val="decimal"/>
      <w:lvlText w:val="%5."/>
      <w:lvlJc w:val="left"/>
      <w:pPr>
        <w:ind w:left="3600" w:hanging="360"/>
      </w:pPr>
      <w:rPr>
        <w:rFonts w:hint="default"/>
        <w:color w:val="306785" w:themeColor="accent1" w:themeShade="BF"/>
      </w:rPr>
    </w:lvl>
    <w:lvl w:ilvl="5">
      <w:start w:val="1"/>
      <w:numFmt w:val="decimal"/>
      <w:lvlText w:val="%6."/>
      <w:lvlJc w:val="right"/>
      <w:pPr>
        <w:ind w:left="4320" w:hanging="180"/>
      </w:pPr>
      <w:rPr>
        <w:rFonts w:hint="default"/>
        <w:color w:val="306785" w:themeColor="accent1" w:themeShade="BF"/>
      </w:rPr>
    </w:lvl>
    <w:lvl w:ilvl="6">
      <w:start w:val="1"/>
      <w:numFmt w:val="decimal"/>
      <w:lvlText w:val="%7."/>
      <w:lvlJc w:val="left"/>
      <w:pPr>
        <w:ind w:left="5040" w:hanging="360"/>
      </w:pPr>
      <w:rPr>
        <w:rFonts w:hint="default"/>
        <w:color w:val="306785" w:themeColor="accent1" w:themeShade="BF"/>
      </w:rPr>
    </w:lvl>
    <w:lvl w:ilvl="7">
      <w:start w:val="1"/>
      <w:numFmt w:val="decimal"/>
      <w:lvlText w:val="%8."/>
      <w:lvlJc w:val="left"/>
      <w:pPr>
        <w:ind w:left="5760" w:hanging="360"/>
      </w:pPr>
      <w:rPr>
        <w:rFonts w:hint="default"/>
        <w:color w:val="306785" w:themeColor="accent1" w:themeShade="BF"/>
      </w:rPr>
    </w:lvl>
    <w:lvl w:ilvl="8">
      <w:start w:val="1"/>
      <w:numFmt w:val="decimal"/>
      <w:lvlText w:val="%9."/>
      <w:lvlJc w:val="right"/>
      <w:pPr>
        <w:ind w:left="6480" w:hanging="180"/>
      </w:pPr>
      <w:rPr>
        <w:rFonts w:hint="default"/>
        <w:color w:val="306785" w:themeColor="accent1" w:themeShade="BF"/>
      </w:rPr>
    </w:lvl>
  </w:abstractNum>
  <w:abstractNum w:abstractNumId="29" w15:restartNumberingAfterBreak="0">
    <w:nsid w:val="53CB488A"/>
    <w:multiLevelType w:val="hybridMultilevel"/>
    <w:tmpl w:val="0D9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466C2"/>
    <w:multiLevelType w:val="hybridMultilevel"/>
    <w:tmpl w:val="F7AAD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5377E"/>
    <w:multiLevelType w:val="hybridMultilevel"/>
    <w:tmpl w:val="145E9820"/>
    <w:lvl w:ilvl="0" w:tplc="0409000F">
      <w:start w:val="1"/>
      <w:numFmt w:val="decimal"/>
      <w:lvlText w:val="%1."/>
      <w:lvlJc w:val="left"/>
      <w:pPr>
        <w:ind w:left="780" w:hanging="360"/>
      </w:p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2" w15:restartNumberingAfterBreak="0">
    <w:nsid w:val="5D332ABC"/>
    <w:multiLevelType w:val="multilevel"/>
    <w:tmpl w:val="3AA0678C"/>
    <w:lvl w:ilvl="0">
      <w:start w:val="1"/>
      <w:numFmt w:val="bullet"/>
      <w:lvlText w:val=""/>
      <w:lvlJc w:val="left"/>
      <w:pPr>
        <w:ind w:left="720" w:firstLine="360"/>
      </w:pPr>
      <w:rPr>
        <w:rFonts w:ascii="Symbol" w:hAnsi="Symbol" w:hint="default"/>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614A31FF"/>
    <w:multiLevelType w:val="hybridMultilevel"/>
    <w:tmpl w:val="A6268BB2"/>
    <w:lvl w:ilvl="0" w:tplc="FFFFFFFF">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4" w15:restartNumberingAfterBreak="0">
    <w:nsid w:val="614C6D79"/>
    <w:multiLevelType w:val="hybridMultilevel"/>
    <w:tmpl w:val="9A7AEB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25C241D"/>
    <w:multiLevelType w:val="multilevel"/>
    <w:tmpl w:val="ACC80F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06785" w:themeColor="accent1" w:themeShade="BF"/>
      </w:rPr>
    </w:lvl>
    <w:lvl w:ilvl="1">
      <w:start w:val="1"/>
      <w:numFmt w:val="bullet"/>
      <w:lvlText w:val="o"/>
      <w:lvlJc w:val="left"/>
      <w:pPr>
        <w:ind w:left="1440" w:hanging="360"/>
      </w:pPr>
      <w:rPr>
        <w:rFonts w:ascii="Courier New" w:hAnsi="Courier New" w:hint="default"/>
        <w:color w:val="306785" w:themeColor="accent1" w:themeShade="BF"/>
      </w:rPr>
    </w:lvl>
    <w:lvl w:ilvl="2">
      <w:start w:val="1"/>
      <w:numFmt w:val="bullet"/>
      <w:lvlText w:val=""/>
      <w:lvlJc w:val="left"/>
      <w:pPr>
        <w:ind w:left="2160" w:hanging="360"/>
      </w:pPr>
      <w:rPr>
        <w:rFonts w:ascii="Wingdings" w:hAnsi="Wingdings" w:hint="default"/>
        <w:color w:val="306785" w:themeColor="accent1" w:themeShade="BF"/>
      </w:rPr>
    </w:lvl>
    <w:lvl w:ilvl="3">
      <w:start w:val="1"/>
      <w:numFmt w:val="bullet"/>
      <w:lvlText w:val=""/>
      <w:lvlJc w:val="left"/>
      <w:pPr>
        <w:ind w:left="2880" w:hanging="360"/>
      </w:pPr>
      <w:rPr>
        <w:rFonts w:ascii="Symbol" w:hAnsi="Symbol" w:hint="default"/>
        <w:color w:val="306785" w:themeColor="accent1" w:themeShade="BF"/>
      </w:rPr>
    </w:lvl>
    <w:lvl w:ilvl="4">
      <w:start w:val="1"/>
      <w:numFmt w:val="bullet"/>
      <w:lvlText w:val="o"/>
      <w:lvlJc w:val="left"/>
      <w:pPr>
        <w:ind w:left="3600" w:hanging="360"/>
      </w:pPr>
      <w:rPr>
        <w:rFonts w:ascii="Courier New" w:hAnsi="Courier New" w:hint="default"/>
        <w:color w:val="306785" w:themeColor="accent1" w:themeShade="BF"/>
      </w:rPr>
    </w:lvl>
    <w:lvl w:ilvl="5">
      <w:start w:val="1"/>
      <w:numFmt w:val="bullet"/>
      <w:lvlText w:val=""/>
      <w:lvlJc w:val="left"/>
      <w:pPr>
        <w:ind w:left="4320" w:hanging="360"/>
      </w:pPr>
      <w:rPr>
        <w:rFonts w:ascii="Wingdings" w:hAnsi="Wingdings" w:hint="default"/>
        <w:color w:val="306785" w:themeColor="accent1" w:themeShade="BF"/>
      </w:rPr>
    </w:lvl>
    <w:lvl w:ilvl="6">
      <w:start w:val="1"/>
      <w:numFmt w:val="bullet"/>
      <w:lvlText w:val=""/>
      <w:lvlJc w:val="left"/>
      <w:pPr>
        <w:ind w:left="5040" w:hanging="360"/>
      </w:pPr>
      <w:rPr>
        <w:rFonts w:ascii="Symbol" w:hAnsi="Symbol" w:hint="default"/>
        <w:color w:val="306785" w:themeColor="accent1" w:themeShade="BF"/>
      </w:rPr>
    </w:lvl>
    <w:lvl w:ilvl="7">
      <w:start w:val="1"/>
      <w:numFmt w:val="bullet"/>
      <w:lvlText w:val="o"/>
      <w:lvlJc w:val="left"/>
      <w:pPr>
        <w:ind w:left="5760" w:hanging="360"/>
      </w:pPr>
      <w:rPr>
        <w:rFonts w:ascii="Courier New" w:hAnsi="Courier New" w:hint="default"/>
        <w:color w:val="306785" w:themeColor="accent1" w:themeShade="BF"/>
      </w:rPr>
    </w:lvl>
    <w:lvl w:ilvl="8">
      <w:start w:val="1"/>
      <w:numFmt w:val="bullet"/>
      <w:lvlText w:val=""/>
      <w:lvlJc w:val="left"/>
      <w:pPr>
        <w:ind w:left="6480" w:hanging="360"/>
      </w:pPr>
      <w:rPr>
        <w:rFonts w:ascii="Wingdings" w:hAnsi="Wingdings" w:hint="default"/>
        <w:color w:val="306785" w:themeColor="accent1" w:themeShade="BF"/>
      </w:rPr>
    </w:lvl>
  </w:abstractNum>
  <w:abstractNum w:abstractNumId="37" w15:restartNumberingAfterBreak="0">
    <w:nsid w:val="66686212"/>
    <w:multiLevelType w:val="hybridMultilevel"/>
    <w:tmpl w:val="484AC116"/>
    <w:lvl w:ilvl="0" w:tplc="0409000F">
      <w:start w:val="1"/>
      <w:numFmt w:val="decimal"/>
      <w:lvlText w:val="%1."/>
      <w:lvlJc w:val="left"/>
      <w:pPr>
        <w:ind w:left="780" w:hanging="360"/>
      </w:p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8" w15:restartNumberingAfterBreak="0">
    <w:nsid w:val="6EA3250A"/>
    <w:multiLevelType w:val="hybridMultilevel"/>
    <w:tmpl w:val="42E6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182398"/>
    <w:multiLevelType w:val="hybridMultilevel"/>
    <w:tmpl w:val="2050E4FA"/>
    <w:lvl w:ilvl="0" w:tplc="EDEE80F8">
      <w:start w:val="4"/>
      <w:numFmt w:val="bullet"/>
      <w:lvlText w:val="•"/>
      <w:lvlJc w:val="left"/>
      <w:pPr>
        <w:ind w:left="1080" w:hanging="360"/>
      </w:pPr>
      <w:rPr>
        <w:rFonts w:ascii="Calibri" w:eastAsia="MS Mincho"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6"/>
  </w:num>
  <w:num w:numId="3">
    <w:abstractNumId w:val="36"/>
    <w:lvlOverride w:ilvl="0">
      <w:startOverride w:val="1"/>
    </w:lvlOverride>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31"/>
  </w:num>
  <w:num w:numId="18">
    <w:abstractNumId w:val="15"/>
  </w:num>
  <w:num w:numId="19">
    <w:abstractNumId w:val="19"/>
  </w:num>
  <w:num w:numId="20">
    <w:abstractNumId w:val="25"/>
  </w:num>
  <w:num w:numId="21">
    <w:abstractNumId w:val="29"/>
  </w:num>
  <w:num w:numId="22">
    <w:abstractNumId w:val="13"/>
    <w:lvlOverride w:ilvl="0">
      <w:startOverride w:val="1"/>
    </w:lvlOverride>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18"/>
  </w:num>
  <w:num w:numId="25">
    <w:abstractNumId w:val="30"/>
  </w:num>
  <w:num w:numId="26">
    <w:abstractNumId w:val="34"/>
  </w:num>
  <w:num w:numId="27">
    <w:abstractNumId w:val="12"/>
  </w:num>
  <w:num w:numId="28">
    <w:abstractNumId w:val="32"/>
  </w:num>
  <w:num w:numId="29">
    <w:abstractNumId w:val="37"/>
  </w:num>
  <w:num w:numId="30">
    <w:abstractNumId w:val="20"/>
  </w:num>
  <w:num w:numId="31">
    <w:abstractNumId w:val="23"/>
  </w:num>
  <w:num w:numId="32">
    <w:abstractNumId w:val="38"/>
  </w:num>
  <w:num w:numId="33">
    <w:abstractNumId w:val="10"/>
  </w:num>
  <w:num w:numId="34">
    <w:abstractNumId w:val="39"/>
  </w:num>
  <w:num w:numId="35">
    <w:abstractNumId w:val="21"/>
  </w:num>
  <w:num w:numId="36">
    <w:abstractNumId w:val="11"/>
  </w:num>
  <w:num w:numId="37">
    <w:abstractNumId w:val="24"/>
  </w:num>
  <w:num w:numId="38">
    <w:abstractNumId w:val="17"/>
  </w:num>
  <w:num w:numId="39">
    <w:abstractNumId w:val="35"/>
  </w:num>
  <w:num w:numId="40">
    <w:abstractNumId w:val="33"/>
  </w:num>
  <w:num w:numId="41">
    <w:abstractNumId w:val="14"/>
  </w:num>
  <w:num w:numId="42">
    <w:abstractNumId w:val="26"/>
  </w:num>
  <w:num w:numId="43">
    <w:abstractNumId w:val="22"/>
  </w:num>
  <w:num w:numId="44">
    <w:abstractNumId w:val="1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C5"/>
    <w:rsid w:val="00020259"/>
    <w:rsid w:val="00041231"/>
    <w:rsid w:val="00041F08"/>
    <w:rsid w:val="000546DE"/>
    <w:rsid w:val="00060F06"/>
    <w:rsid w:val="000713FE"/>
    <w:rsid w:val="000718D2"/>
    <w:rsid w:val="00077A07"/>
    <w:rsid w:val="00083B37"/>
    <w:rsid w:val="00084B28"/>
    <w:rsid w:val="00092A94"/>
    <w:rsid w:val="00096D3B"/>
    <w:rsid w:val="000A0612"/>
    <w:rsid w:val="000A2398"/>
    <w:rsid w:val="000D0C41"/>
    <w:rsid w:val="000E2483"/>
    <w:rsid w:val="000E4CA0"/>
    <w:rsid w:val="0010091E"/>
    <w:rsid w:val="001028D4"/>
    <w:rsid w:val="00107317"/>
    <w:rsid w:val="00112EC4"/>
    <w:rsid w:val="00122C02"/>
    <w:rsid w:val="00140183"/>
    <w:rsid w:val="0014251C"/>
    <w:rsid w:val="00144332"/>
    <w:rsid w:val="001446A7"/>
    <w:rsid w:val="00152876"/>
    <w:rsid w:val="00157C87"/>
    <w:rsid w:val="00165E8C"/>
    <w:rsid w:val="00172D76"/>
    <w:rsid w:val="001821B0"/>
    <w:rsid w:val="001A728E"/>
    <w:rsid w:val="001C2177"/>
    <w:rsid w:val="001C2228"/>
    <w:rsid w:val="001C6D10"/>
    <w:rsid w:val="001E042A"/>
    <w:rsid w:val="001E59A6"/>
    <w:rsid w:val="001F0793"/>
    <w:rsid w:val="001F1F6D"/>
    <w:rsid w:val="00213E5C"/>
    <w:rsid w:val="00217931"/>
    <w:rsid w:val="002217A7"/>
    <w:rsid w:val="00223EBF"/>
    <w:rsid w:val="00224D05"/>
    <w:rsid w:val="0022526D"/>
    <w:rsid w:val="00225505"/>
    <w:rsid w:val="00226321"/>
    <w:rsid w:val="00230378"/>
    <w:rsid w:val="002323FA"/>
    <w:rsid w:val="00232C38"/>
    <w:rsid w:val="00257E28"/>
    <w:rsid w:val="00283319"/>
    <w:rsid w:val="00295FF4"/>
    <w:rsid w:val="00297CF7"/>
    <w:rsid w:val="002A5B58"/>
    <w:rsid w:val="002B7756"/>
    <w:rsid w:val="002C33A7"/>
    <w:rsid w:val="002D1345"/>
    <w:rsid w:val="002D1E57"/>
    <w:rsid w:val="002D2D3E"/>
    <w:rsid w:val="002E01BF"/>
    <w:rsid w:val="002F13FF"/>
    <w:rsid w:val="003050CA"/>
    <w:rsid w:val="00315BD0"/>
    <w:rsid w:val="00326AF3"/>
    <w:rsid w:val="003312ED"/>
    <w:rsid w:val="003316C9"/>
    <w:rsid w:val="00340270"/>
    <w:rsid w:val="00341304"/>
    <w:rsid w:val="00342ED4"/>
    <w:rsid w:val="003606FC"/>
    <w:rsid w:val="00384B28"/>
    <w:rsid w:val="003858B5"/>
    <w:rsid w:val="00390544"/>
    <w:rsid w:val="003909CA"/>
    <w:rsid w:val="00397EB5"/>
    <w:rsid w:val="003A36E7"/>
    <w:rsid w:val="003A4D0B"/>
    <w:rsid w:val="003A6720"/>
    <w:rsid w:val="003A7AC1"/>
    <w:rsid w:val="003B2FB5"/>
    <w:rsid w:val="003C0A56"/>
    <w:rsid w:val="003C15AB"/>
    <w:rsid w:val="003D57C8"/>
    <w:rsid w:val="003E0044"/>
    <w:rsid w:val="003F04F9"/>
    <w:rsid w:val="003F1ED4"/>
    <w:rsid w:val="003F2093"/>
    <w:rsid w:val="003F5A16"/>
    <w:rsid w:val="004018C1"/>
    <w:rsid w:val="00403BEF"/>
    <w:rsid w:val="004165C6"/>
    <w:rsid w:val="004274E3"/>
    <w:rsid w:val="00431DBC"/>
    <w:rsid w:val="0043623C"/>
    <w:rsid w:val="00444B49"/>
    <w:rsid w:val="004455C2"/>
    <w:rsid w:val="00445AC2"/>
    <w:rsid w:val="004507DA"/>
    <w:rsid w:val="00452F63"/>
    <w:rsid w:val="00455BA9"/>
    <w:rsid w:val="00457D71"/>
    <w:rsid w:val="004727F4"/>
    <w:rsid w:val="00473BC5"/>
    <w:rsid w:val="00480CCD"/>
    <w:rsid w:val="004924EE"/>
    <w:rsid w:val="004A0A8D"/>
    <w:rsid w:val="004A29A1"/>
    <w:rsid w:val="004B5F63"/>
    <w:rsid w:val="004B6FB1"/>
    <w:rsid w:val="004C35F4"/>
    <w:rsid w:val="004C4C32"/>
    <w:rsid w:val="004D70C0"/>
    <w:rsid w:val="004F68E6"/>
    <w:rsid w:val="00500C6A"/>
    <w:rsid w:val="00501F3D"/>
    <w:rsid w:val="00524F7A"/>
    <w:rsid w:val="00530A3A"/>
    <w:rsid w:val="0054124B"/>
    <w:rsid w:val="00551106"/>
    <w:rsid w:val="00561301"/>
    <w:rsid w:val="00565276"/>
    <w:rsid w:val="00565849"/>
    <w:rsid w:val="00567938"/>
    <w:rsid w:val="00575B92"/>
    <w:rsid w:val="00581877"/>
    <w:rsid w:val="00587DA8"/>
    <w:rsid w:val="005B2422"/>
    <w:rsid w:val="005B25E3"/>
    <w:rsid w:val="005C2219"/>
    <w:rsid w:val="005C75CD"/>
    <w:rsid w:val="005D4B81"/>
    <w:rsid w:val="005D4DC9"/>
    <w:rsid w:val="005E09F4"/>
    <w:rsid w:val="005E29CF"/>
    <w:rsid w:val="005E608A"/>
    <w:rsid w:val="005F7999"/>
    <w:rsid w:val="006124CD"/>
    <w:rsid w:val="006136BB"/>
    <w:rsid w:val="00626EDA"/>
    <w:rsid w:val="00634FA3"/>
    <w:rsid w:val="006462FB"/>
    <w:rsid w:val="00650535"/>
    <w:rsid w:val="00655A15"/>
    <w:rsid w:val="00656781"/>
    <w:rsid w:val="00661E9C"/>
    <w:rsid w:val="00664140"/>
    <w:rsid w:val="006676B1"/>
    <w:rsid w:val="00672841"/>
    <w:rsid w:val="00675D42"/>
    <w:rsid w:val="00682981"/>
    <w:rsid w:val="006A4FDD"/>
    <w:rsid w:val="006C065A"/>
    <w:rsid w:val="006C4BC8"/>
    <w:rsid w:val="006D7FF8"/>
    <w:rsid w:val="006F1691"/>
    <w:rsid w:val="00704472"/>
    <w:rsid w:val="00704F68"/>
    <w:rsid w:val="00734F37"/>
    <w:rsid w:val="00743091"/>
    <w:rsid w:val="00743F09"/>
    <w:rsid w:val="00766633"/>
    <w:rsid w:val="00767CA3"/>
    <w:rsid w:val="007723E8"/>
    <w:rsid w:val="0077386E"/>
    <w:rsid w:val="0077589C"/>
    <w:rsid w:val="007758DE"/>
    <w:rsid w:val="007834A3"/>
    <w:rsid w:val="00791457"/>
    <w:rsid w:val="007918E8"/>
    <w:rsid w:val="00791BA2"/>
    <w:rsid w:val="007938BE"/>
    <w:rsid w:val="007A64A9"/>
    <w:rsid w:val="007B54FF"/>
    <w:rsid w:val="007D1D5B"/>
    <w:rsid w:val="007E47B2"/>
    <w:rsid w:val="007E6A89"/>
    <w:rsid w:val="007F372E"/>
    <w:rsid w:val="007F5412"/>
    <w:rsid w:val="0080427D"/>
    <w:rsid w:val="00804EB2"/>
    <w:rsid w:val="008139C5"/>
    <w:rsid w:val="00814D8C"/>
    <w:rsid w:val="008156E7"/>
    <w:rsid w:val="00826E0B"/>
    <w:rsid w:val="008341FD"/>
    <w:rsid w:val="00841DD5"/>
    <w:rsid w:val="00852B66"/>
    <w:rsid w:val="00862B27"/>
    <w:rsid w:val="00873317"/>
    <w:rsid w:val="00884956"/>
    <w:rsid w:val="0088665F"/>
    <w:rsid w:val="0088689B"/>
    <w:rsid w:val="008901F6"/>
    <w:rsid w:val="008908DD"/>
    <w:rsid w:val="0089277F"/>
    <w:rsid w:val="00897ED3"/>
    <w:rsid w:val="008B23A4"/>
    <w:rsid w:val="008B28DE"/>
    <w:rsid w:val="008B6805"/>
    <w:rsid w:val="008C32DD"/>
    <w:rsid w:val="008C48C5"/>
    <w:rsid w:val="008D0ED8"/>
    <w:rsid w:val="008D5E06"/>
    <w:rsid w:val="008D6347"/>
    <w:rsid w:val="008D6D77"/>
    <w:rsid w:val="008D78C8"/>
    <w:rsid w:val="008E0499"/>
    <w:rsid w:val="008E4B16"/>
    <w:rsid w:val="008F63C9"/>
    <w:rsid w:val="00900051"/>
    <w:rsid w:val="009007C7"/>
    <w:rsid w:val="009224DE"/>
    <w:rsid w:val="00931231"/>
    <w:rsid w:val="009369AC"/>
    <w:rsid w:val="0094157F"/>
    <w:rsid w:val="00954A02"/>
    <w:rsid w:val="00954BFF"/>
    <w:rsid w:val="00961846"/>
    <w:rsid w:val="00961A22"/>
    <w:rsid w:val="009653D9"/>
    <w:rsid w:val="00982D8A"/>
    <w:rsid w:val="00991D60"/>
    <w:rsid w:val="009956F9"/>
    <w:rsid w:val="009A470B"/>
    <w:rsid w:val="009B0995"/>
    <w:rsid w:val="009C0E5E"/>
    <w:rsid w:val="009D004D"/>
    <w:rsid w:val="009D7608"/>
    <w:rsid w:val="00A053D4"/>
    <w:rsid w:val="00A07B46"/>
    <w:rsid w:val="00A1467B"/>
    <w:rsid w:val="00A2588E"/>
    <w:rsid w:val="00A373AF"/>
    <w:rsid w:val="00A4279F"/>
    <w:rsid w:val="00A46CA0"/>
    <w:rsid w:val="00A648C8"/>
    <w:rsid w:val="00A723C0"/>
    <w:rsid w:val="00A834AC"/>
    <w:rsid w:val="00A860DB"/>
    <w:rsid w:val="00A87F5A"/>
    <w:rsid w:val="00A9069C"/>
    <w:rsid w:val="00AA0D03"/>
    <w:rsid w:val="00AA1E3E"/>
    <w:rsid w:val="00AA2C7E"/>
    <w:rsid w:val="00AA316B"/>
    <w:rsid w:val="00AA61C0"/>
    <w:rsid w:val="00AA7F0F"/>
    <w:rsid w:val="00AB0970"/>
    <w:rsid w:val="00AB2588"/>
    <w:rsid w:val="00AB3E86"/>
    <w:rsid w:val="00AB66A5"/>
    <w:rsid w:val="00AC2038"/>
    <w:rsid w:val="00AD5A48"/>
    <w:rsid w:val="00AE2938"/>
    <w:rsid w:val="00AE3927"/>
    <w:rsid w:val="00AE66B6"/>
    <w:rsid w:val="00AF06BD"/>
    <w:rsid w:val="00AF327C"/>
    <w:rsid w:val="00B11E01"/>
    <w:rsid w:val="00B155FC"/>
    <w:rsid w:val="00B1578A"/>
    <w:rsid w:val="00B43BCA"/>
    <w:rsid w:val="00B47389"/>
    <w:rsid w:val="00B75714"/>
    <w:rsid w:val="00B81069"/>
    <w:rsid w:val="00B81BCA"/>
    <w:rsid w:val="00B90C0F"/>
    <w:rsid w:val="00BB0A09"/>
    <w:rsid w:val="00BB439D"/>
    <w:rsid w:val="00BB7448"/>
    <w:rsid w:val="00BB7492"/>
    <w:rsid w:val="00BC1FD2"/>
    <w:rsid w:val="00BD2093"/>
    <w:rsid w:val="00BD43ED"/>
    <w:rsid w:val="00BE6823"/>
    <w:rsid w:val="00C01CDD"/>
    <w:rsid w:val="00C045FC"/>
    <w:rsid w:val="00C07CA7"/>
    <w:rsid w:val="00C12276"/>
    <w:rsid w:val="00C44E64"/>
    <w:rsid w:val="00C4661C"/>
    <w:rsid w:val="00C56C36"/>
    <w:rsid w:val="00C611F7"/>
    <w:rsid w:val="00C74CB5"/>
    <w:rsid w:val="00C75EEA"/>
    <w:rsid w:val="00C92C41"/>
    <w:rsid w:val="00C96C2D"/>
    <w:rsid w:val="00CA0F5D"/>
    <w:rsid w:val="00CB1F00"/>
    <w:rsid w:val="00CB5A0D"/>
    <w:rsid w:val="00CC41CE"/>
    <w:rsid w:val="00CF4C08"/>
    <w:rsid w:val="00D04512"/>
    <w:rsid w:val="00D0649A"/>
    <w:rsid w:val="00D15554"/>
    <w:rsid w:val="00D17169"/>
    <w:rsid w:val="00D34256"/>
    <w:rsid w:val="00D34FD9"/>
    <w:rsid w:val="00D42F71"/>
    <w:rsid w:val="00D53DB3"/>
    <w:rsid w:val="00D55474"/>
    <w:rsid w:val="00D5680F"/>
    <w:rsid w:val="00D57E3E"/>
    <w:rsid w:val="00D6034B"/>
    <w:rsid w:val="00D71D15"/>
    <w:rsid w:val="00D760F2"/>
    <w:rsid w:val="00D818ED"/>
    <w:rsid w:val="00D84D55"/>
    <w:rsid w:val="00D851EA"/>
    <w:rsid w:val="00D87909"/>
    <w:rsid w:val="00D9032E"/>
    <w:rsid w:val="00D95901"/>
    <w:rsid w:val="00D97A50"/>
    <w:rsid w:val="00DA126A"/>
    <w:rsid w:val="00DA5BDE"/>
    <w:rsid w:val="00DB24CB"/>
    <w:rsid w:val="00DB2512"/>
    <w:rsid w:val="00DC725D"/>
    <w:rsid w:val="00DD2EEE"/>
    <w:rsid w:val="00DD3A14"/>
    <w:rsid w:val="00DD7BC4"/>
    <w:rsid w:val="00DE4153"/>
    <w:rsid w:val="00DF15F1"/>
    <w:rsid w:val="00DF5013"/>
    <w:rsid w:val="00DF741A"/>
    <w:rsid w:val="00E01FF1"/>
    <w:rsid w:val="00E05DCE"/>
    <w:rsid w:val="00E06795"/>
    <w:rsid w:val="00E11640"/>
    <w:rsid w:val="00E13539"/>
    <w:rsid w:val="00E15DB9"/>
    <w:rsid w:val="00E16D57"/>
    <w:rsid w:val="00E229E6"/>
    <w:rsid w:val="00E2463B"/>
    <w:rsid w:val="00E407DD"/>
    <w:rsid w:val="00E46480"/>
    <w:rsid w:val="00E4709B"/>
    <w:rsid w:val="00E7154C"/>
    <w:rsid w:val="00E71DD1"/>
    <w:rsid w:val="00E847C1"/>
    <w:rsid w:val="00E9640A"/>
    <w:rsid w:val="00EA3931"/>
    <w:rsid w:val="00EB3104"/>
    <w:rsid w:val="00EC33DE"/>
    <w:rsid w:val="00EC3B23"/>
    <w:rsid w:val="00ED5D06"/>
    <w:rsid w:val="00EE7360"/>
    <w:rsid w:val="00F05957"/>
    <w:rsid w:val="00F05C59"/>
    <w:rsid w:val="00F067BD"/>
    <w:rsid w:val="00F1586E"/>
    <w:rsid w:val="00F26942"/>
    <w:rsid w:val="00F31F8F"/>
    <w:rsid w:val="00F3493E"/>
    <w:rsid w:val="00F5226B"/>
    <w:rsid w:val="00F5323F"/>
    <w:rsid w:val="00F56E0A"/>
    <w:rsid w:val="00F84EE5"/>
    <w:rsid w:val="00F94CE2"/>
    <w:rsid w:val="00F95E58"/>
    <w:rsid w:val="00FA4239"/>
    <w:rsid w:val="00FB24B4"/>
    <w:rsid w:val="00FC4BC8"/>
    <w:rsid w:val="00FC5E48"/>
    <w:rsid w:val="00FD67D2"/>
    <w:rsid w:val="00FE0A79"/>
    <w:rsid w:val="00FF7A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2A98D"/>
  <w15:chartTrackingRefBased/>
  <w15:docId w15:val="{7DC00D60-F65C-433B-97C0-3DF37947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2A"/>
  </w:style>
  <w:style w:type="paragraph" w:styleId="Heading1">
    <w:name w:val="heading 1"/>
    <w:basedOn w:val="Normal"/>
    <w:next w:val="Normal"/>
    <w:link w:val="Heading1Char"/>
    <w:uiPriority w:val="9"/>
    <w:qFormat/>
    <w:rsid w:val="00CF4C08"/>
    <w:pPr>
      <w:keepNext/>
      <w:keepLines/>
      <w:spacing w:before="600" w:after="240" w:line="240" w:lineRule="auto"/>
      <w:outlineLvl w:val="0"/>
    </w:pPr>
    <w:rPr>
      <w:rFonts w:ascii="Calibri" w:hAnsi="Calibri"/>
      <w:b/>
      <w:bCs/>
      <w:caps/>
      <w:color w:val="204559" w:themeColor="accent1" w:themeShade="80"/>
      <w:sz w:val="36"/>
    </w:rPr>
  </w:style>
  <w:style w:type="paragraph" w:styleId="Heading2">
    <w:name w:val="heading 2"/>
    <w:basedOn w:val="Normal"/>
    <w:next w:val="Normal"/>
    <w:link w:val="Heading2Char"/>
    <w:autoRedefine/>
    <w:uiPriority w:val="9"/>
    <w:unhideWhenUsed/>
    <w:qFormat/>
    <w:rsid w:val="003050CA"/>
    <w:pPr>
      <w:keepNext/>
      <w:keepLines/>
      <w:numPr>
        <w:numId w:val="4"/>
      </w:numPr>
      <w:spacing w:before="360" w:after="120" w:line="240" w:lineRule="auto"/>
      <w:outlineLvl w:val="1"/>
    </w:pPr>
    <w:rPr>
      <w:rFonts w:ascii="Calibri" w:hAnsi="Calibri"/>
      <w:b/>
      <w:bCs/>
      <w:color w:val="306785" w:themeColor="accent1" w:themeShade="BF"/>
      <w:sz w:val="28"/>
    </w:rPr>
  </w:style>
  <w:style w:type="paragraph" w:styleId="Heading3">
    <w:name w:val="heading 3"/>
    <w:basedOn w:val="Normal"/>
    <w:next w:val="Normal"/>
    <w:link w:val="Heading3Char"/>
    <w:uiPriority w:val="9"/>
    <w:unhideWhenUsed/>
    <w:qFormat/>
    <w:rsid w:val="008D5E06"/>
    <w:pPr>
      <w:keepNext/>
      <w:keepLines/>
      <w:spacing w:before="40" w:after="0"/>
      <w:outlineLvl w:val="2"/>
    </w:pPr>
    <w:rPr>
      <w:rFonts w:asciiTheme="majorHAnsi" w:eastAsiaTheme="majorEastAsia" w:hAnsiTheme="majorHAnsi" w:cstheme="majorBidi"/>
      <w:color w:val="204458" w:themeColor="accent1" w:themeShade="7F"/>
      <w:sz w:val="24"/>
      <w:szCs w:val="24"/>
    </w:rPr>
  </w:style>
  <w:style w:type="paragraph" w:styleId="Heading4">
    <w:name w:val="heading 4"/>
    <w:basedOn w:val="Normal"/>
    <w:next w:val="Normal"/>
    <w:link w:val="Heading4Char"/>
    <w:uiPriority w:val="9"/>
    <w:unhideWhenUsed/>
    <w:qFormat/>
    <w:rsid w:val="008D5E06"/>
    <w:pPr>
      <w:keepNext/>
      <w:keepLines/>
      <w:spacing w:before="40" w:after="0"/>
      <w:outlineLvl w:val="3"/>
    </w:pPr>
    <w:rPr>
      <w:rFonts w:asciiTheme="majorHAnsi" w:eastAsiaTheme="majorEastAsia" w:hAnsiTheme="majorHAnsi" w:cstheme="majorBidi"/>
      <w:i/>
      <w:iCs/>
      <w:color w:val="306785" w:themeColor="accent1" w:themeShade="BF"/>
    </w:rPr>
  </w:style>
  <w:style w:type="paragraph" w:styleId="Heading5">
    <w:name w:val="heading 5"/>
    <w:basedOn w:val="Normal"/>
    <w:next w:val="Normal"/>
    <w:link w:val="Heading5Char"/>
    <w:uiPriority w:val="9"/>
    <w:unhideWhenUsed/>
    <w:qFormat/>
    <w:rsid w:val="008D5E06"/>
    <w:pPr>
      <w:keepNext/>
      <w:keepLines/>
      <w:spacing w:before="40" w:after="0"/>
      <w:outlineLvl w:val="4"/>
    </w:pPr>
    <w:rPr>
      <w:rFonts w:asciiTheme="majorHAnsi" w:eastAsiaTheme="majorEastAsia" w:hAnsiTheme="majorHAnsi" w:cstheme="majorBidi"/>
      <w:color w:val="30678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04559" w:themeColor="accent1" w:themeShade="80"/>
      </w:pBdr>
      <w:spacing w:after="0" w:line="420" w:lineRule="exact"/>
    </w:pPr>
    <w:rPr>
      <w:rFonts w:asciiTheme="majorHAnsi" w:eastAsiaTheme="majorEastAsia" w:hAnsiTheme="majorHAnsi" w:cstheme="majorBidi"/>
      <w:caps/>
      <w:color w:val="20455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0455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04559" w:themeColor="accent1" w:themeShade="80"/>
      </w:pBdr>
      <w:spacing w:before="80" w:after="0" w:line="280" w:lineRule="exact"/>
    </w:pPr>
    <w:rPr>
      <w:b/>
      <w:bCs/>
      <w:color w:val="306785" w:themeColor="accent1" w:themeShade="BF"/>
      <w:sz w:val="24"/>
    </w:rPr>
  </w:style>
  <w:style w:type="character" w:customStyle="1" w:styleId="SubtitleChar">
    <w:name w:val="Subtitle Char"/>
    <w:basedOn w:val="DefaultParagraphFont"/>
    <w:link w:val="Subtitle"/>
    <w:uiPriority w:val="2"/>
    <w:rsid w:val="008D5E06"/>
    <w:rPr>
      <w:b/>
      <w:bCs/>
      <w:color w:val="306785" w:themeColor="accent1" w:themeShade="BF"/>
      <w:sz w:val="24"/>
    </w:rPr>
  </w:style>
  <w:style w:type="character" w:customStyle="1" w:styleId="Heading1Char">
    <w:name w:val="Heading 1 Char"/>
    <w:basedOn w:val="DefaultParagraphFont"/>
    <w:link w:val="Heading1"/>
    <w:uiPriority w:val="9"/>
    <w:rsid w:val="00CF4C08"/>
    <w:rPr>
      <w:rFonts w:ascii="Calibri" w:hAnsi="Calibri"/>
      <w:b/>
      <w:bCs/>
      <w:caps/>
      <w:color w:val="204559" w:themeColor="accent1" w:themeShade="80"/>
      <w:sz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7E7F0"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8D5E06"/>
    <w:rPr>
      <w:rFonts w:asciiTheme="majorHAnsi" w:eastAsiaTheme="majorEastAsia" w:hAnsiTheme="majorHAnsi" w:cstheme="majorBidi"/>
      <w:color w:val="204458" w:themeColor="accent1" w:themeShade="7F"/>
      <w:sz w:val="24"/>
      <w:szCs w:val="24"/>
    </w:rPr>
  </w:style>
  <w:style w:type="character" w:customStyle="1" w:styleId="Heading2Char">
    <w:name w:val="Heading 2 Char"/>
    <w:basedOn w:val="DefaultParagraphFont"/>
    <w:link w:val="Heading2"/>
    <w:uiPriority w:val="9"/>
    <w:rsid w:val="003050CA"/>
    <w:rPr>
      <w:rFonts w:ascii="Calibri" w:hAnsi="Calibri"/>
      <w:b/>
      <w:bCs/>
      <w:color w:val="306785" w:themeColor="accent1" w:themeShade="BF"/>
      <w:sz w:val="28"/>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0455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0455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CellMar>
        <w:top w:w="29" w:type="dxa"/>
        <w:bottom w:w="29" w:type="dxa"/>
      </w:tblCellMar>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418AB3" w:themeColor="accent1"/>
        <w:left w:val="single" w:sz="4" w:space="0" w:color="418AB3" w:themeColor="accent1"/>
        <w:bottom w:val="single" w:sz="4" w:space="0" w:color="418AB3" w:themeColor="accent1"/>
        <w:right w:val="single" w:sz="4" w:space="0" w:color="418AB3" w:themeColor="accent1"/>
        <w:insideH w:val="single" w:sz="4" w:space="0" w:color="418AB3" w:themeColor="accent1"/>
        <w:insideV w:val="single" w:sz="4" w:space="0" w:color="418AB3" w:themeColor="accent1"/>
      </w:tblBorders>
      <w:tblCellMar>
        <w:left w:w="144" w:type="dxa"/>
        <w:right w:w="144" w:type="dxa"/>
      </w:tblCellMar>
    </w:tblPr>
    <w:tblStylePr w:type="firstRow">
      <w:pPr>
        <w:keepNext/>
        <w:wordWrap/>
      </w:pPr>
      <w:rPr>
        <w:b/>
      </w:rPr>
      <w:tblPr/>
      <w:tcPr>
        <w:shd w:val="clear" w:color="auto" w:fill="D7E7F0" w:themeFill="accent1" w:themeFillTint="33"/>
        <w:vAlign w:val="bottom"/>
      </w:tcPr>
    </w:tblStylePr>
    <w:tblStylePr w:type="lastRow">
      <w:rPr>
        <w:b/>
        <w:color w:val="FFFFFF" w:themeColor="background1"/>
      </w:rPr>
      <w:tblPr/>
      <w:tcPr>
        <w:shd w:val="clear" w:color="auto" w:fill="418AB3" w:themeFill="accent1"/>
      </w:tcPr>
    </w:tblStylePr>
  </w:style>
  <w:style w:type="character" w:customStyle="1" w:styleId="Heading4Char">
    <w:name w:val="Heading 4 Char"/>
    <w:basedOn w:val="DefaultParagraphFont"/>
    <w:link w:val="Heading4"/>
    <w:uiPriority w:val="9"/>
    <w:rsid w:val="008D5E06"/>
    <w:rPr>
      <w:rFonts w:asciiTheme="majorHAnsi" w:eastAsiaTheme="majorEastAsia" w:hAnsiTheme="majorHAnsi" w:cstheme="majorBidi"/>
      <w:i/>
      <w:iCs/>
      <w:color w:val="306785" w:themeColor="accent1" w:themeShade="BF"/>
    </w:rPr>
  </w:style>
  <w:style w:type="character" w:customStyle="1" w:styleId="Heading5Char">
    <w:name w:val="Heading 5 Char"/>
    <w:basedOn w:val="DefaultParagraphFont"/>
    <w:link w:val="Heading5"/>
    <w:uiPriority w:val="9"/>
    <w:rsid w:val="008D5E06"/>
    <w:rPr>
      <w:rFonts w:asciiTheme="majorHAnsi" w:eastAsiaTheme="majorEastAsia" w:hAnsiTheme="majorHAnsi" w:cstheme="majorBidi"/>
      <w:color w:val="30678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0678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8D5E06"/>
    <w:rPr>
      <w:i/>
      <w:iCs/>
      <w:color w:val="306785" w:themeColor="accent1" w:themeShade="BF"/>
    </w:rPr>
  </w:style>
  <w:style w:type="character" w:styleId="IntenseReference">
    <w:name w:val="Intense Reference"/>
    <w:basedOn w:val="DefaultParagraphFont"/>
    <w:uiPriority w:val="32"/>
    <w:semiHidden/>
    <w:unhideWhenUsed/>
    <w:qFormat/>
    <w:rsid w:val="008D5E06"/>
    <w:rPr>
      <w:b/>
      <w:bCs/>
      <w:caps w:val="0"/>
      <w:smallCaps/>
      <w:color w:val="306785" w:themeColor="accent1" w:themeShade="BF"/>
      <w:spacing w:val="5"/>
    </w:rPr>
  </w:style>
  <w:style w:type="paragraph" w:styleId="BlockText">
    <w:name w:val="Block Text"/>
    <w:basedOn w:val="Normal"/>
    <w:uiPriority w:val="99"/>
    <w:semiHidden/>
    <w:unhideWhenUsed/>
    <w:rsid w:val="008D5E06"/>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rFonts w:eastAsiaTheme="minorEastAsia"/>
      <w:i/>
      <w:iCs/>
      <w:color w:val="306785" w:themeColor="accent1" w:themeShade="BF"/>
    </w:rPr>
  </w:style>
  <w:style w:type="character" w:styleId="Hyperlink">
    <w:name w:val="Hyperlink"/>
    <w:basedOn w:val="DefaultParagraphFont"/>
    <w:uiPriority w:val="99"/>
    <w:unhideWhenUsed/>
    <w:rsid w:val="008D5E06"/>
    <w:rPr>
      <w:color w:val="AA3B19"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5E29CF"/>
    <w:rPr>
      <w:color w:val="605E5C"/>
      <w:shd w:val="clear" w:color="auto" w:fill="E1DFDD"/>
    </w:rPr>
  </w:style>
  <w:style w:type="paragraph" w:styleId="BalloonText">
    <w:name w:val="Balloon Text"/>
    <w:basedOn w:val="Normal"/>
    <w:link w:val="BalloonTextChar"/>
    <w:uiPriority w:val="99"/>
    <w:semiHidden/>
    <w:unhideWhenUsed/>
    <w:rsid w:val="00BD209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93"/>
    <w:rPr>
      <w:rFonts w:ascii="Segoe UI" w:hAnsi="Segoe UI" w:cs="Segoe UI"/>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5_G"/>
    <w:basedOn w:val="Normal"/>
    <w:link w:val="FootnoteTextChar"/>
    <w:uiPriority w:val="99"/>
    <w:unhideWhenUsed/>
    <w:qFormat/>
    <w:rsid w:val="00A373AF"/>
    <w:pPr>
      <w:spacing w:after="0" w:line="240" w:lineRule="auto"/>
    </w:pPr>
    <w:rPr>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5_G Char"/>
    <w:basedOn w:val="DefaultParagraphFont"/>
    <w:link w:val="FootnoteText"/>
    <w:uiPriority w:val="99"/>
    <w:rsid w:val="00A373AF"/>
    <w:rPr>
      <w:sz w:val="20"/>
      <w:szCs w:val="20"/>
    </w:rPr>
  </w:style>
  <w:style w:type="character" w:styleId="FootnoteReference">
    <w:name w:val="footnote reference"/>
    <w:aliases w:val="ftref,Footnotes refss,16 Point,Superscript 6 Point,Char Char,FO,Знак сноски 1,referencia nota al pie,Texto de nota al pie,BVI fnr,Footnote symbol,Footnote,Ref. ...,Ref. de nota al pie2,Nota de pie,Ref,de nota al pie,Pie de pagina,FC"/>
    <w:basedOn w:val="DefaultParagraphFont"/>
    <w:link w:val="BVIfnrCarCar"/>
    <w:uiPriority w:val="99"/>
    <w:unhideWhenUsed/>
    <w:qFormat/>
    <w:rsid w:val="00A373AF"/>
    <w:rPr>
      <w:vertAlign w:val="superscript"/>
    </w:rPr>
  </w:style>
  <w:style w:type="paragraph" w:styleId="ListParagraph">
    <w:name w:val="List Paragraph"/>
    <w:aliases w:val="titulo 3,Bullets,normal,Normal1,References,List Paragraph (numbered (a)),WB List Paragraph,Dot pt,F5 List Paragraph,No Spacing1,List Paragraph Char Char Char,Indicator Text,Numbered Para 1,Bullet 1,Bullet Points,Lapis Bulleted List"/>
    <w:basedOn w:val="Normal"/>
    <w:uiPriority w:val="34"/>
    <w:unhideWhenUsed/>
    <w:qFormat/>
    <w:rsid w:val="009D004D"/>
    <w:pPr>
      <w:ind w:left="720"/>
      <w:contextualSpacing/>
    </w:pPr>
  </w:style>
  <w:style w:type="character" w:styleId="CommentReference">
    <w:name w:val="annotation reference"/>
    <w:basedOn w:val="DefaultParagraphFont"/>
    <w:uiPriority w:val="99"/>
    <w:semiHidden/>
    <w:unhideWhenUsed/>
    <w:rsid w:val="002D1E57"/>
    <w:rPr>
      <w:sz w:val="16"/>
      <w:szCs w:val="16"/>
    </w:rPr>
  </w:style>
  <w:style w:type="paragraph" w:styleId="CommentText">
    <w:name w:val="annotation text"/>
    <w:basedOn w:val="Normal"/>
    <w:link w:val="CommentTextChar"/>
    <w:uiPriority w:val="99"/>
    <w:unhideWhenUsed/>
    <w:rsid w:val="002D1E57"/>
    <w:pPr>
      <w:spacing w:line="240" w:lineRule="auto"/>
    </w:pPr>
    <w:rPr>
      <w:sz w:val="20"/>
      <w:szCs w:val="20"/>
    </w:rPr>
  </w:style>
  <w:style w:type="character" w:customStyle="1" w:styleId="CommentTextChar">
    <w:name w:val="Comment Text Char"/>
    <w:basedOn w:val="DefaultParagraphFont"/>
    <w:link w:val="CommentText"/>
    <w:uiPriority w:val="99"/>
    <w:rsid w:val="002D1E57"/>
    <w:rPr>
      <w:sz w:val="20"/>
      <w:szCs w:val="20"/>
    </w:rPr>
  </w:style>
  <w:style w:type="paragraph" w:styleId="CommentSubject">
    <w:name w:val="annotation subject"/>
    <w:basedOn w:val="CommentText"/>
    <w:next w:val="CommentText"/>
    <w:link w:val="CommentSubjectChar"/>
    <w:uiPriority w:val="99"/>
    <w:semiHidden/>
    <w:unhideWhenUsed/>
    <w:rsid w:val="002D1E57"/>
    <w:rPr>
      <w:b/>
      <w:bCs/>
    </w:rPr>
  </w:style>
  <w:style w:type="character" w:customStyle="1" w:styleId="CommentSubjectChar">
    <w:name w:val="Comment Subject Char"/>
    <w:basedOn w:val="CommentTextChar"/>
    <w:link w:val="CommentSubject"/>
    <w:uiPriority w:val="99"/>
    <w:semiHidden/>
    <w:rsid w:val="002D1E57"/>
    <w:rPr>
      <w:b/>
      <w:bCs/>
      <w:sz w:val="20"/>
      <w:szCs w:val="20"/>
    </w:rPr>
  </w:style>
  <w:style w:type="character" w:customStyle="1" w:styleId="UnresolvedMention3">
    <w:name w:val="Unresolved Mention3"/>
    <w:basedOn w:val="DefaultParagraphFont"/>
    <w:uiPriority w:val="99"/>
    <w:semiHidden/>
    <w:unhideWhenUsed/>
    <w:rsid w:val="00EC33DE"/>
    <w:rPr>
      <w:color w:val="605E5C"/>
      <w:shd w:val="clear" w:color="auto" w:fill="E1DFDD"/>
    </w:rPr>
  </w:style>
  <w:style w:type="paragraph" w:customStyle="1" w:styleId="Body">
    <w:name w:val="Body"/>
    <w:rsid w:val="00E229E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US"/>
    </w:rPr>
  </w:style>
  <w:style w:type="paragraph" w:customStyle="1" w:styleId="BVIfnrCarCar">
    <w:name w:val="BVI fnr Car Car"/>
    <w:aliases w:val="BVI fnr Car,BVI fnr Car Car Car Car"/>
    <w:basedOn w:val="Normal"/>
    <w:link w:val="FootnoteReference"/>
    <w:uiPriority w:val="99"/>
    <w:rsid w:val="006A4FDD"/>
    <w:pPr>
      <w:spacing w:after="160" w:line="240" w:lineRule="exact"/>
    </w:pPr>
    <w:rPr>
      <w:vertAlign w:val="superscript"/>
    </w:rPr>
  </w:style>
  <w:style w:type="paragraph" w:customStyle="1" w:styleId="Default">
    <w:name w:val="Default"/>
    <w:rsid w:val="00445AC2"/>
    <w:pPr>
      <w:autoSpaceDE w:val="0"/>
      <w:autoSpaceDN w:val="0"/>
      <w:adjustRightInd w:val="0"/>
      <w:spacing w:after="0" w:line="240" w:lineRule="auto"/>
    </w:pPr>
    <w:rPr>
      <w:rFonts w:ascii="Calibri" w:hAnsi="Calibri" w:cs="Calibri"/>
      <w:color w:val="000000"/>
      <w:sz w:val="24"/>
      <w:szCs w:val="24"/>
      <w:lang w:val="en-GB"/>
    </w:rPr>
  </w:style>
  <w:style w:type="paragraph" w:styleId="TOCHeading">
    <w:name w:val="TOC Heading"/>
    <w:basedOn w:val="Heading1"/>
    <w:next w:val="Normal"/>
    <w:uiPriority w:val="39"/>
    <w:unhideWhenUsed/>
    <w:qFormat/>
    <w:rsid w:val="00B90C0F"/>
    <w:pPr>
      <w:spacing w:before="240" w:after="0" w:line="259" w:lineRule="auto"/>
      <w:outlineLvl w:val="9"/>
    </w:pPr>
    <w:rPr>
      <w:rFonts w:asciiTheme="majorHAnsi" w:eastAsiaTheme="majorEastAsia" w:hAnsiTheme="majorHAnsi" w:cstheme="majorBidi"/>
      <w:b w:val="0"/>
      <w:bCs w:val="0"/>
      <w:caps w:val="0"/>
      <w:color w:val="306785" w:themeColor="accent1" w:themeShade="BF"/>
      <w:sz w:val="32"/>
      <w:szCs w:val="32"/>
      <w:lang w:eastAsia="en-US"/>
    </w:rPr>
  </w:style>
  <w:style w:type="paragraph" w:styleId="TOC1">
    <w:name w:val="toc 1"/>
    <w:basedOn w:val="Normal"/>
    <w:next w:val="Normal"/>
    <w:autoRedefine/>
    <w:uiPriority w:val="39"/>
    <w:unhideWhenUsed/>
    <w:rsid w:val="00B90C0F"/>
    <w:pPr>
      <w:spacing w:after="100"/>
    </w:pPr>
  </w:style>
  <w:style w:type="paragraph" w:styleId="TOC2">
    <w:name w:val="toc 2"/>
    <w:basedOn w:val="Normal"/>
    <w:next w:val="Normal"/>
    <w:autoRedefine/>
    <w:uiPriority w:val="39"/>
    <w:unhideWhenUsed/>
    <w:rsid w:val="00B90C0F"/>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4794">
      <w:bodyDiv w:val="1"/>
      <w:marLeft w:val="0"/>
      <w:marRight w:val="0"/>
      <w:marTop w:val="0"/>
      <w:marBottom w:val="0"/>
      <w:divBdr>
        <w:top w:val="none" w:sz="0" w:space="0" w:color="auto"/>
        <w:left w:val="none" w:sz="0" w:space="0" w:color="auto"/>
        <w:bottom w:val="none" w:sz="0" w:space="0" w:color="auto"/>
        <w:right w:val="none" w:sz="0" w:space="0" w:color="auto"/>
      </w:divBdr>
    </w:div>
    <w:div w:id="376903509">
      <w:bodyDiv w:val="1"/>
      <w:marLeft w:val="0"/>
      <w:marRight w:val="0"/>
      <w:marTop w:val="0"/>
      <w:marBottom w:val="0"/>
      <w:divBdr>
        <w:top w:val="none" w:sz="0" w:space="0" w:color="auto"/>
        <w:left w:val="none" w:sz="0" w:space="0" w:color="auto"/>
        <w:bottom w:val="none" w:sz="0" w:space="0" w:color="auto"/>
        <w:right w:val="none" w:sz="0" w:space="0" w:color="auto"/>
      </w:divBdr>
    </w:div>
    <w:div w:id="1071197201">
      <w:bodyDiv w:val="1"/>
      <w:marLeft w:val="0"/>
      <w:marRight w:val="0"/>
      <w:marTop w:val="0"/>
      <w:marBottom w:val="0"/>
      <w:divBdr>
        <w:top w:val="none" w:sz="0" w:space="0" w:color="auto"/>
        <w:left w:val="none" w:sz="0" w:space="0" w:color="auto"/>
        <w:bottom w:val="none" w:sz="0" w:space="0" w:color="auto"/>
        <w:right w:val="none" w:sz="0" w:space="0" w:color="auto"/>
      </w:divBdr>
    </w:div>
    <w:div w:id="1271474741">
      <w:bodyDiv w:val="1"/>
      <w:marLeft w:val="0"/>
      <w:marRight w:val="0"/>
      <w:marTop w:val="0"/>
      <w:marBottom w:val="0"/>
      <w:divBdr>
        <w:top w:val="none" w:sz="0" w:space="0" w:color="auto"/>
        <w:left w:val="none" w:sz="0" w:space="0" w:color="auto"/>
        <w:bottom w:val="none" w:sz="0" w:space="0" w:color="auto"/>
        <w:right w:val="none" w:sz="0" w:space="0" w:color="auto"/>
      </w:divBdr>
    </w:div>
    <w:div w:id="1605384199">
      <w:bodyDiv w:val="1"/>
      <w:marLeft w:val="0"/>
      <w:marRight w:val="0"/>
      <w:marTop w:val="0"/>
      <w:marBottom w:val="0"/>
      <w:divBdr>
        <w:top w:val="none" w:sz="0" w:space="0" w:color="auto"/>
        <w:left w:val="none" w:sz="0" w:space="0" w:color="auto"/>
        <w:bottom w:val="none" w:sz="0" w:space="0" w:color="auto"/>
        <w:right w:val="none" w:sz="0" w:space="0" w:color="auto"/>
      </w:divBdr>
    </w:div>
    <w:div w:id="166455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sac.org/f/docs/News-SALW/Roadmap-for-sustainable-solu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esac@undp.org"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odora.zafiu\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5ACB-85DB-45B4-BA3D-8DF6C26F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23</TotalTime>
  <Pages>8</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Teodora Zafiu</dc:creator>
  <cp:lastModifiedBy>Anca Stoica</cp:lastModifiedBy>
  <cp:revision>7</cp:revision>
  <dcterms:created xsi:type="dcterms:W3CDTF">2019-07-29T11:41:00Z</dcterms:created>
  <dcterms:modified xsi:type="dcterms:W3CDTF">2019-07-29T14:43:00Z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y fmtid="{D5CDD505-2E9C-101B-9397-08002B2CF9AE}" pid="17" name="_NewReviewCycle">
    <vt:lpwstr/>
  </property>
</Properties>
</file>