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A9D" w:rsidRDefault="008B4A9D" w:rsidP="001C7A15">
      <w:pPr>
        <w:rPr>
          <w:rFonts w:ascii="Century Gothic" w:hAnsi="Century Gothic"/>
          <w:sz w:val="20"/>
          <w:szCs w:val="20"/>
        </w:rPr>
      </w:pPr>
      <w:bookmarkStart w:id="0" w:name="_GoBack"/>
      <w:bookmarkEnd w:id="0"/>
    </w:p>
    <w:p w:rsidR="008B4A9D" w:rsidRDefault="008B4A9D" w:rsidP="008B4A9D">
      <w:pPr>
        <w:spacing w:after="240"/>
        <w:jc w:val="center"/>
        <w:rPr>
          <w:rFonts w:ascii="Century Gothic" w:hAnsi="Century Gothic"/>
          <w:b/>
          <w:bCs/>
          <w:u w:val="single"/>
        </w:rPr>
      </w:pPr>
      <w:r>
        <w:rPr>
          <w:rFonts w:ascii="Century Gothic" w:hAnsi="Century Gothic"/>
          <w:b/>
          <w:bCs/>
          <w:u w:val="single"/>
        </w:rPr>
        <w:t>Detailed Descriptions of UNDG Expense Categories</w:t>
      </w:r>
    </w:p>
    <w:p w:rsidR="008B4A9D" w:rsidRDefault="008B4A9D" w:rsidP="001C7A15">
      <w:pPr>
        <w:rPr>
          <w:rFonts w:ascii="Century Gothic" w:hAnsi="Century Gothic"/>
          <w:sz w:val="20"/>
          <w:szCs w:val="20"/>
        </w:rPr>
      </w:pPr>
    </w:p>
    <w:p w:rsidR="001C7A15" w:rsidRDefault="001C7A15" w:rsidP="001C7A15">
      <w:pPr>
        <w:rPr>
          <w:rFonts w:ascii="Century Gothic" w:hAnsi="Century Gothic"/>
          <w:sz w:val="20"/>
          <w:szCs w:val="20"/>
        </w:rPr>
      </w:pPr>
      <w:r>
        <w:rPr>
          <w:noProof/>
        </w:rPr>
        <w:drawing>
          <wp:anchor distT="0" distB="0" distL="114300" distR="114300" simplePos="0" relativeHeight="251658240" behindDoc="0" locked="0" layoutInCell="1" allowOverlap="1">
            <wp:simplePos x="0" y="0"/>
            <wp:positionH relativeFrom="column">
              <wp:posOffset>1314450</wp:posOffset>
            </wp:positionH>
            <wp:positionV relativeFrom="paragraph">
              <wp:posOffset>19049</wp:posOffset>
            </wp:positionV>
            <wp:extent cx="2971800" cy="2085975"/>
            <wp:effectExtent l="0" t="0" r="0" b="9525"/>
            <wp:wrapNone/>
            <wp:docPr id="1" name="Picture 1" descr="Description: Description: Description: Revised Harmonized Categories  &#10;1. Staff and other personnel costs&#10;2. Supplies, Commodities, Materials&#10;3. Equipment, Vehicles and Furniture including Depreciation&#10;4. Contractual Services&#10;5. Travel&#10;6. Transfers and Grants Counterparts&#10;7. General Operating and Other Direct Costs                       &#10;8. Indirect support cos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Revised Harmonized Categories  &#10;1. Staff and other personnel costs&#10;2. Supplies, Commodities, Materials&#10;3. Equipment, Vehicles and Furniture including Depreciation&#10;4. Contractual Services&#10;5. Travel&#10;6. Transfers and Grants Counterparts&#10;7. General Operating and Other Direct Costs                       &#10;8. Indirect support costs&#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1800" cy="2085975"/>
                    </a:xfrm>
                    <a:prstGeom prst="rect">
                      <a:avLst/>
                    </a:prstGeom>
                    <a:noFill/>
                  </pic:spPr>
                </pic:pic>
              </a:graphicData>
            </a:graphic>
            <wp14:sizeRelH relativeFrom="margin">
              <wp14:pctWidth>0</wp14:pctWidth>
            </wp14:sizeRelH>
            <wp14:sizeRelV relativeFrom="margin">
              <wp14:pctHeight>0</wp14:pctHeight>
            </wp14:sizeRelV>
          </wp:anchor>
        </w:drawing>
      </w:r>
    </w:p>
    <w:p w:rsidR="001C7A15" w:rsidRDefault="001C7A15" w:rsidP="001C7A15">
      <w:pPr>
        <w:rPr>
          <w:b/>
          <w:bCs/>
        </w:rPr>
      </w:pPr>
    </w:p>
    <w:p w:rsidR="001C7A15" w:rsidRDefault="001C7A15" w:rsidP="001C7A15">
      <w:pPr>
        <w:rPr>
          <w:b/>
          <w:bCs/>
        </w:rPr>
      </w:pPr>
    </w:p>
    <w:p w:rsidR="001C7A15" w:rsidRDefault="001C7A15" w:rsidP="001C7A15">
      <w:pPr>
        <w:rPr>
          <w:b/>
          <w:bCs/>
        </w:rPr>
      </w:pPr>
    </w:p>
    <w:p w:rsidR="001C7A15" w:rsidRDefault="001C7A15" w:rsidP="001C7A15">
      <w:pPr>
        <w:rPr>
          <w:b/>
          <w:bCs/>
        </w:rPr>
      </w:pPr>
    </w:p>
    <w:p w:rsidR="001C7A15" w:rsidRDefault="001C7A15" w:rsidP="001C7A15">
      <w:pPr>
        <w:rPr>
          <w:b/>
          <w:bCs/>
        </w:rPr>
      </w:pPr>
    </w:p>
    <w:p w:rsidR="001C7A15" w:rsidRDefault="001C7A15" w:rsidP="001C7A15">
      <w:pPr>
        <w:rPr>
          <w:b/>
          <w:bCs/>
        </w:rPr>
      </w:pPr>
    </w:p>
    <w:p w:rsidR="001C7A15" w:rsidRDefault="001C7A15" w:rsidP="001C7A15">
      <w:pPr>
        <w:rPr>
          <w:b/>
          <w:bCs/>
        </w:rPr>
      </w:pPr>
    </w:p>
    <w:p w:rsidR="001C7A15" w:rsidRDefault="001C7A15" w:rsidP="001C7A15">
      <w:pPr>
        <w:rPr>
          <w:b/>
          <w:bCs/>
        </w:rPr>
      </w:pPr>
    </w:p>
    <w:p w:rsidR="001C7A15" w:rsidRDefault="001C7A15" w:rsidP="001C7A15">
      <w:pPr>
        <w:rPr>
          <w:b/>
          <w:bCs/>
        </w:rPr>
      </w:pPr>
    </w:p>
    <w:p w:rsidR="001C7A15" w:rsidRDefault="001C7A15" w:rsidP="001C7A15">
      <w:pPr>
        <w:rPr>
          <w:b/>
          <w:bCs/>
        </w:rPr>
      </w:pPr>
    </w:p>
    <w:p w:rsidR="001C7A15" w:rsidRDefault="001C7A15" w:rsidP="001C7A15">
      <w:pPr>
        <w:rPr>
          <w:b/>
          <w:bCs/>
        </w:rPr>
      </w:pPr>
    </w:p>
    <w:p w:rsidR="001C7A15" w:rsidRDefault="001C7A15" w:rsidP="001C7A15">
      <w:pPr>
        <w:rPr>
          <w:b/>
          <w:bCs/>
        </w:rPr>
      </w:pPr>
    </w:p>
    <w:p w:rsidR="001C7A15" w:rsidRDefault="001C7A15" w:rsidP="001C7A15">
      <w:pPr>
        <w:rPr>
          <w:rFonts w:ascii="Century Gothic" w:hAnsi="Century Gothic"/>
          <w:b/>
          <w:bCs/>
          <w:sz w:val="20"/>
          <w:szCs w:val="20"/>
        </w:rPr>
      </w:pPr>
    </w:p>
    <w:p w:rsidR="001C7A15" w:rsidRDefault="001C7A15" w:rsidP="001C7A15">
      <w:pPr>
        <w:rPr>
          <w:rFonts w:ascii="Century Gothic" w:hAnsi="Century Gothic"/>
        </w:rPr>
      </w:pPr>
      <w:r>
        <w:rPr>
          <w:rFonts w:ascii="Century Gothic" w:hAnsi="Century Gothic"/>
          <w:b/>
          <w:bCs/>
        </w:rPr>
        <w:t xml:space="preserve">Staff and other personnel costs: </w:t>
      </w:r>
      <w:r>
        <w:rPr>
          <w:rFonts w:ascii="Century Gothic" w:hAnsi="Century Gothic"/>
        </w:rPr>
        <w:t xml:space="preserve">Includes all related staff and temporary staff costs including base salary, post adjustment and all staff entitlements.  </w:t>
      </w:r>
    </w:p>
    <w:p w:rsidR="001C7A15" w:rsidRDefault="001C7A15" w:rsidP="001C7A15">
      <w:pPr>
        <w:rPr>
          <w:rFonts w:ascii="Century Gothic" w:hAnsi="Century Gothic"/>
        </w:rPr>
      </w:pPr>
    </w:p>
    <w:p w:rsidR="001C7A15" w:rsidRDefault="001C7A15" w:rsidP="001C7A15">
      <w:pPr>
        <w:rPr>
          <w:rFonts w:ascii="Century Gothic" w:hAnsi="Century Gothic"/>
        </w:rPr>
      </w:pPr>
      <w:r>
        <w:rPr>
          <w:rFonts w:ascii="Century Gothic" w:hAnsi="Century Gothic"/>
          <w:b/>
          <w:bCs/>
        </w:rPr>
        <w:t>Supplies, Commodities, Materials</w:t>
      </w:r>
      <w:r>
        <w:rPr>
          <w:rFonts w:ascii="Century Gothic" w:hAnsi="Century Gothic"/>
        </w:rPr>
        <w:t>: Includes all direct and indirect costs (e.g. freight, transport, delivery, distribution) associated with procurement of supplies, commodities and materials.  Office supplies should be reported as "General Operating".</w:t>
      </w:r>
    </w:p>
    <w:p w:rsidR="001C7A15" w:rsidRDefault="001C7A15" w:rsidP="001C7A15">
      <w:pPr>
        <w:rPr>
          <w:rFonts w:ascii="Century Gothic" w:hAnsi="Century Gothic"/>
        </w:rPr>
      </w:pPr>
    </w:p>
    <w:p w:rsidR="001C7A15" w:rsidRDefault="001C7A15" w:rsidP="001C7A15">
      <w:pPr>
        <w:rPr>
          <w:rFonts w:ascii="Century Gothic" w:hAnsi="Century Gothic"/>
        </w:rPr>
      </w:pPr>
      <w:r>
        <w:rPr>
          <w:rFonts w:ascii="Century Gothic" w:hAnsi="Century Gothic"/>
          <w:b/>
          <w:bCs/>
        </w:rPr>
        <w:t>Equipment, Vehicles and Furniture including Depreciation</w:t>
      </w:r>
      <w:r>
        <w:rPr>
          <w:rFonts w:ascii="Century Gothic" w:hAnsi="Century Gothic"/>
        </w:rPr>
        <w:t xml:space="preserve">: For those reporting assets on UNSAS or modified UNSAS basis (i.e. expense up front) this would relate to all costs to put asset into service.  For those who do donor reports according to IPSAS this would equal depreciation for period.  </w:t>
      </w:r>
    </w:p>
    <w:p w:rsidR="001C7A15" w:rsidRDefault="001C7A15" w:rsidP="001C7A15">
      <w:pPr>
        <w:rPr>
          <w:rFonts w:ascii="Century Gothic" w:hAnsi="Century Gothic"/>
        </w:rPr>
      </w:pPr>
    </w:p>
    <w:p w:rsidR="001C7A15" w:rsidRDefault="001C7A15" w:rsidP="001C7A15">
      <w:pPr>
        <w:rPr>
          <w:rFonts w:ascii="Century Gothic" w:hAnsi="Century Gothic"/>
        </w:rPr>
      </w:pPr>
      <w:r>
        <w:rPr>
          <w:rFonts w:ascii="Century Gothic" w:hAnsi="Century Gothic"/>
          <w:b/>
          <w:bCs/>
        </w:rPr>
        <w:t xml:space="preserve">Contractual Services: </w:t>
      </w:r>
      <w:r>
        <w:rPr>
          <w:rFonts w:ascii="Century Gothic" w:hAnsi="Century Gothic"/>
        </w:rPr>
        <w:t>Services contracted by an organization which follow the normal procurement processes.  In IPSAS terminology this would be similar to exchange transactions.  This could include contracts given to NGOs if they are more similar to procurement of services than a grant transfer.</w:t>
      </w:r>
    </w:p>
    <w:p w:rsidR="001C7A15" w:rsidRDefault="001C7A15" w:rsidP="001C7A15">
      <w:pPr>
        <w:rPr>
          <w:rFonts w:ascii="Century Gothic" w:hAnsi="Century Gothic"/>
        </w:rPr>
      </w:pPr>
    </w:p>
    <w:p w:rsidR="001C7A15" w:rsidRDefault="001C7A15" w:rsidP="001C7A15">
      <w:pPr>
        <w:rPr>
          <w:rFonts w:ascii="Century Gothic" w:hAnsi="Century Gothic"/>
        </w:rPr>
      </w:pPr>
      <w:r>
        <w:rPr>
          <w:rFonts w:ascii="Century Gothic" w:hAnsi="Century Gothic"/>
          <w:b/>
          <w:bCs/>
        </w:rPr>
        <w:t xml:space="preserve">Travel: </w:t>
      </w:r>
      <w:r>
        <w:rPr>
          <w:rFonts w:ascii="Century Gothic" w:hAnsi="Century Gothic"/>
        </w:rPr>
        <w:t xml:space="preserve">Includes staff and non-staff travel paid for by the organization directly related to a project.  </w:t>
      </w:r>
    </w:p>
    <w:p w:rsidR="001C7A15" w:rsidRDefault="001C7A15" w:rsidP="001C7A15">
      <w:pPr>
        <w:rPr>
          <w:rFonts w:ascii="Century Gothic" w:hAnsi="Century Gothic"/>
        </w:rPr>
      </w:pPr>
    </w:p>
    <w:p w:rsidR="001C7A15" w:rsidRDefault="001C7A15" w:rsidP="001C7A15">
      <w:pPr>
        <w:rPr>
          <w:rFonts w:ascii="Century Gothic" w:hAnsi="Century Gothic"/>
        </w:rPr>
      </w:pPr>
      <w:r>
        <w:rPr>
          <w:rFonts w:ascii="Century Gothic" w:hAnsi="Century Gothic"/>
          <w:b/>
          <w:bCs/>
        </w:rPr>
        <w:t xml:space="preserve">Transfers and Grants to Counterparts: </w:t>
      </w:r>
      <w:r>
        <w:rPr>
          <w:rFonts w:ascii="Century Gothic" w:hAnsi="Century Gothic"/>
        </w:rPr>
        <w:t xml:space="preserve">Includes transfers to national counterparts and any other transfers given to an implementing partner (e.g. NGO) which is not similar to a commercial service contract as per above.  In IPSAS terms this would be more similar to non-exchange transactions. </w:t>
      </w:r>
    </w:p>
    <w:p w:rsidR="001C7A15" w:rsidRDefault="001C7A15" w:rsidP="001C7A15">
      <w:pPr>
        <w:rPr>
          <w:rFonts w:ascii="Century Gothic" w:hAnsi="Century Gothic"/>
        </w:rPr>
      </w:pPr>
    </w:p>
    <w:p w:rsidR="001C7A15" w:rsidRDefault="001C7A15" w:rsidP="001C7A15">
      <w:pPr>
        <w:rPr>
          <w:rFonts w:ascii="Century Gothic" w:hAnsi="Century Gothic"/>
        </w:rPr>
      </w:pPr>
      <w:r>
        <w:rPr>
          <w:rFonts w:ascii="Century Gothic" w:hAnsi="Century Gothic"/>
          <w:b/>
          <w:bCs/>
        </w:rPr>
        <w:t xml:space="preserve">General Operating and Other Direct Costs: </w:t>
      </w:r>
      <w:r>
        <w:rPr>
          <w:rFonts w:ascii="Century Gothic" w:hAnsi="Century Gothic"/>
        </w:rPr>
        <w:t>Includes all general operating costs for running an office.  Examples include telecommunication, rents, finance charges and other costs which cannot be mapped to other expense categories.</w:t>
      </w:r>
    </w:p>
    <w:p w:rsidR="001C7A15" w:rsidRDefault="001C7A15" w:rsidP="001C7A15">
      <w:pPr>
        <w:rPr>
          <w:rFonts w:ascii="Century Gothic" w:hAnsi="Century Gothic"/>
        </w:rPr>
      </w:pPr>
    </w:p>
    <w:p w:rsidR="009B3347" w:rsidRDefault="001C7A15">
      <w:r>
        <w:rPr>
          <w:rFonts w:ascii="Century Gothic" w:hAnsi="Century Gothic"/>
          <w:b/>
          <w:bCs/>
        </w:rPr>
        <w:t xml:space="preserve">Indirect Support Costs: </w:t>
      </w:r>
      <w:r>
        <w:rPr>
          <w:rFonts w:ascii="Century Gothic" w:hAnsi="Century Gothic"/>
        </w:rPr>
        <w:t>(No definition provided).</w:t>
      </w:r>
    </w:p>
    <w:sectPr w:rsidR="009B33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D88" w:rsidRDefault="00950D88" w:rsidP="001C7A15">
      <w:r>
        <w:separator/>
      </w:r>
    </w:p>
  </w:endnote>
  <w:endnote w:type="continuationSeparator" w:id="0">
    <w:p w:rsidR="00950D88" w:rsidRDefault="00950D88" w:rsidP="001C7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D88" w:rsidRDefault="00950D88" w:rsidP="001C7A15">
      <w:r>
        <w:separator/>
      </w:r>
    </w:p>
  </w:footnote>
  <w:footnote w:type="continuationSeparator" w:id="0">
    <w:p w:rsidR="00950D88" w:rsidRDefault="00950D88" w:rsidP="001C7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A15"/>
    <w:rsid w:val="00090D67"/>
    <w:rsid w:val="00115CC4"/>
    <w:rsid w:val="001C7A15"/>
    <w:rsid w:val="002E2C0D"/>
    <w:rsid w:val="00402CD1"/>
    <w:rsid w:val="00617487"/>
    <w:rsid w:val="006C0C29"/>
    <w:rsid w:val="006C6D56"/>
    <w:rsid w:val="008B4A9D"/>
    <w:rsid w:val="00932765"/>
    <w:rsid w:val="00950D88"/>
    <w:rsid w:val="00A36ECD"/>
    <w:rsid w:val="00AD5C32"/>
    <w:rsid w:val="00AE76C4"/>
    <w:rsid w:val="00BF363F"/>
    <w:rsid w:val="00D17FA5"/>
    <w:rsid w:val="00EB4A5A"/>
    <w:rsid w:val="00ED17F0"/>
    <w:rsid w:val="00EF7214"/>
    <w:rsid w:val="00F30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84F4E7-4FD2-4EBC-8ADD-F9C02D00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A1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C7A15"/>
    <w:rPr>
      <w:rFonts w:ascii="Times New Roman" w:hAnsi="Times New Roman" w:cs="Times New Roman"/>
      <w:sz w:val="20"/>
      <w:szCs w:val="20"/>
      <w:lang w:eastAsia="zh-CN"/>
    </w:rPr>
  </w:style>
  <w:style w:type="character" w:customStyle="1" w:styleId="FootnoteTextChar">
    <w:name w:val="Footnote Text Char"/>
    <w:basedOn w:val="DefaultParagraphFont"/>
    <w:link w:val="FootnoteText"/>
    <w:uiPriority w:val="99"/>
    <w:semiHidden/>
    <w:rsid w:val="001C7A15"/>
    <w:rPr>
      <w:rFonts w:ascii="Times New Roman" w:hAnsi="Times New Roman" w:cs="Times New Roman"/>
      <w:sz w:val="20"/>
      <w:szCs w:val="20"/>
      <w:lang w:eastAsia="zh-CN"/>
    </w:rPr>
  </w:style>
  <w:style w:type="character" w:styleId="FootnoteReference">
    <w:name w:val="footnote reference"/>
    <w:basedOn w:val="DefaultParagraphFont"/>
    <w:uiPriority w:val="99"/>
    <w:semiHidden/>
    <w:unhideWhenUsed/>
    <w:rsid w:val="001C7A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26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Matsumoto</dc:creator>
  <cp:lastModifiedBy>Anca Stoica</cp:lastModifiedBy>
  <cp:revision>5</cp:revision>
  <dcterms:created xsi:type="dcterms:W3CDTF">2016-02-04T21:17:00Z</dcterms:created>
  <dcterms:modified xsi:type="dcterms:W3CDTF">2019-07-19T08:40:00Z</dcterms:modified>
</cp:coreProperties>
</file>